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Change Control Log</w:t>
      </w:r>
    </w:p>
    <w:p>
      <w:r>
        <w:rPr>
          <w:b/>
        </w:rPr>
        <w:t>CWP-700 Composite Wing Panel Production Program</w:t>
      </w:r>
    </w:p>
    <w:p>
      <w:r>
        <w:t>This log records every formal change against the program's engineering baseline or internal process since contract award. Changes affecting form, fit, or function require a Meridian-approved Engineering Change Notice (ECN); process, tooling, and documentation changes are approved internally. 8 changes on record, all Approved.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Change #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Title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Category</w:t>
            </w:r>
          </w:p>
        </w:tc>
        <w:tc>
          <w:tcPr>
            <w:tcW w:type="dxa" w:w="2160"/>
          </w:tcPr>
          <w:p>
            <w:r>
              <w:rPr>
                <w:b/>
              </w:rPr>
              <w:t>Approval Authority</w:t>
            </w:r>
          </w:p>
        </w:tc>
      </w:tr>
      <w:tr>
        <w:tc>
          <w:tcPr>
            <w:tcW w:type="dxa" w:w="2160"/>
          </w:tcPr>
          <w:p>
            <w:r>
              <w:t>CN-001</w:t>
            </w:r>
          </w:p>
        </w:tc>
        <w:tc>
          <w:tcPr>
            <w:tcW w:type="dxa" w:w="2160"/>
          </w:tcPr>
          <w:p>
            <w:r>
              <w:t>Correct Part Marking Specification Reference</w:t>
            </w:r>
          </w:p>
        </w:tc>
        <w:tc>
          <w:tcPr>
            <w:tcW w:type="dxa" w:w="2160"/>
          </w:tcPr>
          <w:p>
            <w:r>
              <w:t>Documentation / Administrative</w:t>
            </w:r>
          </w:p>
        </w:tc>
        <w:tc>
          <w:tcPr>
            <w:tcW w:type="dxa" w:w="2160"/>
          </w:tcPr>
          <w:p>
            <w:r>
              <w:t>Acme Internal (Tier 1)</w:t>
            </w:r>
          </w:p>
        </w:tc>
      </w:tr>
      <w:tr>
        <w:tc>
          <w:tcPr>
            <w:tcW w:type="dxa" w:w="2160"/>
          </w:tcPr>
          <w:p>
            <w:r>
              <w:t>CN-002</w:t>
            </w:r>
          </w:p>
        </w:tc>
        <w:tc>
          <w:tcPr>
            <w:tcW w:type="dxa" w:w="2160"/>
          </w:tcPr>
          <w:p>
            <w:r>
              <w:t>Clarify Edge-Trim Tolerance Callout</w:t>
            </w:r>
          </w:p>
        </w:tc>
        <w:tc>
          <w:tcPr>
            <w:tcW w:type="dxa" w:w="2160"/>
          </w:tcPr>
          <w:p>
            <w:r>
              <w:t>Documentation / Administrative</w:t>
            </w:r>
          </w:p>
        </w:tc>
        <w:tc>
          <w:tcPr>
            <w:tcW w:type="dxa" w:w="2160"/>
          </w:tcPr>
          <w:p>
            <w:r>
              <w:t>Acme Internal (Tier 1)</w:t>
            </w:r>
          </w:p>
        </w:tc>
      </w:tr>
      <w:tr>
        <w:tc>
          <w:tcPr>
            <w:tcW w:type="dxa" w:w="2160"/>
          </w:tcPr>
          <w:p>
            <w:r>
              <w:t>CN-003</w:t>
            </w:r>
          </w:p>
        </w:tc>
        <w:tc>
          <w:tcPr>
            <w:tcW w:type="dxa" w:w="2160"/>
          </w:tcPr>
          <w:p>
            <w:r>
              <w:t>Revise FAI Checklist Acceptance Criteria Wording</w:t>
            </w:r>
          </w:p>
        </w:tc>
        <w:tc>
          <w:tcPr>
            <w:tcW w:type="dxa" w:w="2160"/>
          </w:tcPr>
          <w:p>
            <w:r>
              <w:t>Documentation / Administrative</w:t>
            </w:r>
          </w:p>
        </w:tc>
        <w:tc>
          <w:tcPr>
            <w:tcW w:type="dxa" w:w="2160"/>
          </w:tcPr>
          <w:p>
            <w:r>
              <w:t>Acme Internal (Tier 1)</w:t>
            </w:r>
          </w:p>
        </w:tc>
      </w:tr>
      <w:tr>
        <w:tc>
          <w:tcPr>
            <w:tcW w:type="dxa" w:w="2160"/>
          </w:tcPr>
          <w:p>
            <w:r>
              <w:t>CN-004</w:t>
            </w:r>
          </w:p>
        </w:tc>
        <w:tc>
          <w:tcPr>
            <w:tcW w:type="dxa" w:w="2160"/>
          </w:tcPr>
          <w:p>
            <w:r>
              <w:t>Update Program Baseline for Corrected Staffing Model</w:t>
            </w:r>
          </w:p>
        </w:tc>
        <w:tc>
          <w:tcPr>
            <w:tcW w:type="dxa" w:w="2160"/>
          </w:tcPr>
          <w:p>
            <w:r>
              <w:t>Schedule / Resource</w:t>
            </w:r>
          </w:p>
        </w:tc>
        <w:tc>
          <w:tcPr>
            <w:tcW w:type="dxa" w:w="2160"/>
          </w:tcPr>
          <w:p>
            <w:r>
              <w:t>Executive Sponsor (Tier 2)</w:t>
            </w:r>
          </w:p>
        </w:tc>
      </w:tr>
      <w:tr>
        <w:tc>
          <w:tcPr>
            <w:tcW w:type="dxa" w:w="2160"/>
          </w:tcPr>
          <w:p>
            <w:r>
              <w:t>CN-005</w:t>
            </w:r>
          </w:p>
        </w:tc>
        <w:tc>
          <w:tcPr>
            <w:tcW w:type="dxa" w:w="2160"/>
          </w:tcPr>
          <w:p>
            <w:r>
              <w:t>Approve Immersion Ultrasonic Testing as Alternate NDT Method</w:t>
            </w:r>
          </w:p>
        </w:tc>
        <w:tc>
          <w:tcPr>
            <w:tcW w:type="dxa" w:w="2160"/>
          </w:tcPr>
          <w:p>
            <w:r>
              <w:t>Engineering Change (ECN)</w:t>
            </w:r>
          </w:p>
        </w:tc>
        <w:tc>
          <w:tcPr>
            <w:tcW w:type="dxa" w:w="2160"/>
          </w:tcPr>
          <w:p>
            <w:r>
              <w:t>Meridian Program Office (Tier 3)</w:t>
            </w:r>
          </w:p>
        </w:tc>
      </w:tr>
      <w:tr>
        <w:tc>
          <w:tcPr>
            <w:tcW w:type="dxa" w:w="2160"/>
          </w:tcPr>
          <w:p>
            <w:r>
              <w:t>CN-006</w:t>
            </w:r>
          </w:p>
        </w:tc>
        <w:tc>
          <w:tcPr>
            <w:tcW w:type="dxa" w:w="2160"/>
          </w:tcPr>
          <w:p>
            <w:r>
              <w:t>Revise Layup Fixture Preventive Maintenance Schedule</w:t>
            </w:r>
          </w:p>
        </w:tc>
        <w:tc>
          <w:tcPr>
            <w:tcW w:type="dxa" w:w="2160"/>
          </w:tcPr>
          <w:p>
            <w:r>
              <w:t>Process / Tooling</w:t>
            </w:r>
          </w:p>
        </w:tc>
        <w:tc>
          <w:tcPr>
            <w:tcW w:type="dxa" w:w="2160"/>
          </w:tcPr>
          <w:p>
            <w:r>
              <w:t>Acme Internal (Tier 2)</w:t>
            </w:r>
          </w:p>
        </w:tc>
      </w:tr>
      <w:tr>
        <w:tc>
          <w:tcPr>
            <w:tcW w:type="dxa" w:w="2160"/>
          </w:tcPr>
          <w:p>
            <w:r>
              <w:t>CN-007</w:t>
            </w:r>
          </w:p>
        </w:tc>
        <w:tc>
          <w:tcPr>
            <w:tcW w:type="dxa" w:w="2160"/>
          </w:tcPr>
          <w:p>
            <w:r>
              <w:t>Add Repair Limits Table for Oversized Fastener Holes</w:t>
            </w:r>
          </w:p>
        </w:tc>
        <w:tc>
          <w:tcPr>
            <w:tcW w:type="dxa" w:w="2160"/>
          </w:tcPr>
          <w:p>
            <w:r>
              <w:t>Engineering Change (ECN)</w:t>
            </w:r>
          </w:p>
        </w:tc>
        <w:tc>
          <w:tcPr>
            <w:tcW w:type="dxa" w:w="2160"/>
          </w:tcPr>
          <w:p>
            <w:r>
              <w:t>Meridian Program Office (Tier 3)</w:t>
            </w:r>
          </w:p>
        </w:tc>
      </w:tr>
      <w:tr>
        <w:tc>
          <w:tcPr>
            <w:tcW w:type="dxa" w:w="2160"/>
          </w:tcPr>
          <w:p>
            <w:r>
              <w:t>CN-008</w:t>
            </w:r>
          </w:p>
        </w:tc>
        <w:tc>
          <w:tcPr>
            <w:tcW w:type="dxa" w:w="2160"/>
          </w:tcPr>
          <w:p>
            <w:r>
              <w:t>Add Second Approved Source for Composite Prepreg Material</w:t>
            </w:r>
          </w:p>
        </w:tc>
        <w:tc>
          <w:tcPr>
            <w:tcW w:type="dxa" w:w="2160"/>
          </w:tcPr>
          <w:p>
            <w:r>
              <w:t>Supplier / Material</w:t>
            </w:r>
          </w:p>
        </w:tc>
        <w:tc>
          <w:tcPr>
            <w:tcW w:type="dxa" w:w="2160"/>
          </w:tcPr>
          <w:p>
            <w:r>
              <w:t>Meridian Program Office (Tier 3)</w:t>
            </w:r>
          </w:p>
        </w:tc>
      </w:tr>
    </w:tbl>
    <w:p/>
    <w:p>
      <w:r>
        <w:rPr>
          <w:i/>
        </w:rPr>
        <w:t>Illustrative program data — created to demonstrate AS9100-aligned aerospace program management practice, not a real supplier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