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40"/>
      </w:pPr>
      <w:r>
        <w:t xml:space="preserve">Methodology Guide</w:t>
      </w:r>
    </w:p>
    <w:p>
      <w:pPr>
        <w:spacing w:after="160"/>
      </w:pPr>
      <w:r>
        <w:rPr>
          <w:b w:val="false"/>
          <w:bCs w:val="false"/>
          <w:i w:val="false"/>
          <w:iCs w:val="false"/>
          <w:sz w:val="22"/>
          <w:szCs w:val="22"/>
        </w:rPr>
        <w:t xml:space="preserve">A working guide to how aerospace manufacturing programs like the
CWP-700 Composite Wing Panel Production Program are actually run — the discipline that AS9100, First Article Inspection, and the
Material Review Board add on top of ordinary project management, illustrated with this program's
real, reconciled numbers.</w:t>
      </w:r>
    </w:p>
    <w:p>
      <w:pPr>
        <w:pStyle w:val="Heading2"/>
        <w:spacing w:after="120" w:before="260"/>
      </w:pPr>
      <w:r>
        <w:t xml:space="preserve">Aerospace manufacturing PM, at a glance</w:t>
      </w:r>
    </w:p>
    <w:p>
      <w:pPr>
        <w:spacing w:after="160"/>
      </w:pPr>
      <w:r>
        <w:rPr>
          <w:b w:val="false"/>
          <w:bCs w:val="false"/>
          <w:i w:val="false"/>
          <w:iCs w:val="false"/>
          <w:sz w:val="21"/>
          <w:szCs w:val="21"/>
        </w:rPr>
        <w:t xml:space="preserve">Most of what a program manager does
on an aerospace production contract is recognizable from any other delivery methodology: a charter,
a budget, a resource plan, a RAIDD log, a communications plan, a closeout report. What's different
is the layer of quality discipline sitting on top of it, and the fact that this layer isn't optional
— it's a condition of the contract itself. Meridian Aircraft Co. does not do business with a supplier that
isn't AS9100 certified, and it does not accept production volume of a part until that part has
passed First Article Inspection. Every nonconformance that surfaces after that point goes through
a Material Review Board, not through whichever engineer happens to be closest to the problem. That
combination — AS9100 as the umbrella, FAI as the gate, MRB as the ongoing control — is the spine of
this suite, and it's what distinguishes an aerospace manufacturing program from a software or
services program using the same underlying PM skeleton.</w:t>
      </w:r>
    </w:p>
    <w:p>
      <w:pPr>
        <w:spacing w:after="160"/>
      </w:pPr>
      <w:r>
        <w:rPr>
          <w:b w:val="false"/>
          <w:bCs w:val="false"/>
          <w:i w:val="false"/>
          <w:iCs w:val="false"/>
          <w:sz w:val="21"/>
          <w:szCs w:val="21"/>
        </w:rPr>
        <w:t xml:space="preserve">The CWP-700 Composite Wing Panel Production Program is a fixed-price
production contract: Acme Aerostructures, a Tier 1 supplier, builds composite trailing-edge wing panels for
Meridian Aircraft Co.'s Meridian M7 narrowbody. It runs 18 months in two phases — a 6-month Qualification &amp; First
Article phase, and a 12-month Production Ramp &amp; Steady-State phase — and its $3,500,000 total
budget, roster, and quality log are all real, reconciled artifacts in this suite, not placeholder
numbers.</w:t>
      </w:r>
    </w:p>
    <w:p>
      <w:pPr>
        <w:pStyle w:val="Heading2"/>
        <w:spacing w:after="120" w:before="260"/>
      </w:pPr>
      <w:r>
        <w:t xml:space="preserve">Phase 1 — Qualification &amp; First Article (6 months)</w:t>
      </w:r>
    </w:p>
    <w:p>
      <w:pPr>
        <w:spacing w:after="160"/>
      </w:pPr>
      <w:r>
        <w:rPr>
          <w:b w:val="false"/>
          <w:bCs w:val="false"/>
          <w:i w:val="false"/>
          <w:iCs w:val="false"/>
          <w:sz w:val="21"/>
          <w:szCs w:val="21"/>
        </w:rPr>
        <w:t xml:space="preserve">Phase 1 exists to answer one question
before a single production-rate part gets built: can this tooling, this process, and this supply
chain actually produce a conforming part, repeatably? The team is weighted toward engineering and
quality rather than production labor — a Program Manager, a Quality Engineering Lead who owns the
AS9100 relationship for this program, a Manufacturing Engineer, a Materials/NDT Engineer, a Tooling
Engineer dedicated to qualifying the production tooling, a Supplier Quality Engineer running PPAP
on the raw-material supply chain, and a Program Coordinator. That's $755,000 of the program's
$2,710,000 total labor spend, front-loaded into six months rather than spread evenly, because this
is where the highest-risk unknowns get resolved.</w:t>
      </w:r>
    </w:p>
    <w:p>
      <w:pPr>
        <w:spacing w:after="160"/>
      </w:pPr>
      <w:r>
        <w:rPr>
          <w:b w:val="false"/>
          <w:bCs w:val="false"/>
          <w:i w:val="false"/>
          <w:iCs w:val="false"/>
          <w:sz w:val="21"/>
          <w:szCs w:val="21"/>
        </w:rPr>
        <w:t xml:space="preserve">The phase ends with First Article
Inspection: a full dimensional layout, material certification check, special-process verification
(the composite cure cycle and NDT ultrasonic scan), and an AS9102 Form 1/2/3 package, witnessed
on-site by Meridian Aircraft Co.'s source inspection representative. On this program, the first tooling run
did not pass clean — two of eight panel positions had an edge-trim dimension out of tolerance. That
went to the Material Review Board (see below) as a rework-and-reinspect disposition rather than a
failed FAI and a restart, which is exactly the difference a mature quality system is supposed to
make: catching the defect doesn't have to mean losing the schedule, if the disposition path is
already built into the plan. The reworked panel passed re-inspection, the customer source inspector
witnessed and accepted it on-site, and Phase 2 production was released — three weeks later than the
original target, fully inside the schedule buffer that had been built in for exactly this kind of
event.</w:t>
      </w:r>
    </w:p>
    <w:p>
      <w:pPr>
        <w:pStyle w:val="Heading2"/>
        <w:spacing w:after="120" w:before="260"/>
      </w:pPr>
      <w:r>
        <w:t xml:space="preserve">Phase 2 — Production Ramp &amp; Steady-State (12 months)</w:t>
      </w:r>
    </w:p>
    <w:p>
      <w:pPr>
        <w:spacing w:after="160"/>
      </w:pPr>
      <w:r>
        <w:rPr>
          <w:b w:val="false"/>
          <w:bCs w:val="false"/>
          <w:i w:val="false"/>
          <w:iCs w:val="false"/>
          <w:sz w:val="21"/>
          <w:szCs w:val="21"/>
        </w:rPr>
        <w:t xml:space="preserve">Once FAI clears, the program shifts
from "prove it can be built" to "build it at rate, and control it." The roster shifts too: the
Tooling Engineer rolls off (the tooling is qualified and released), and a Material Review Board
Chair joins — a role that doesn't exist in Phase 1 because there isn't yet enough production volume
to generate a steady stream of nonconformances to disposition. That's $1,955,000 of labor across
twelve months, still anchored by the same Program Manager, Quality Engineering Lead, and
Manufacturing Engineer, with the Materials/NDT Engineer's allocation dropping from 80% to 50% (the
qualification-heavy NDT development work is largely done) and the Supplier Quality Engineer's
allocation rising to 100% (PPAP maintenance and incoming-lot verification becomes a continuous
job, not a one-time qualification).</w:t>
      </w:r>
    </w:p>
    <w:p>
      <w:pPr>
        <w:spacing w:after="160"/>
      </w:pPr>
      <w:r>
        <w:rPr>
          <w:b w:val="false"/>
          <w:bCs w:val="false"/>
          <w:i w:val="false"/>
          <w:iCs w:val="false"/>
          <w:sz w:val="21"/>
          <w:szCs w:val="21"/>
        </w:rPr>
        <w:t xml:space="preserve">Production at rate surfaces problems
that a low-volume qualification run doesn't: an NDT inspection queue backlog formed within the
first weeks of ramp, adding roughly four days to the panel release cycle, simply because inspection
capacity had been sized for FAI-level throughput rather than full production rate. The fix — a
second, in-house NDT technician rather than outsourcing ultrasonic inspection — resolved the
backlog within two weeks and kept full material traceability in-house. That specific miss (sizing
NDT for the wrong phase's throughput) is one of the clearer lessons this program produced, and it's
recorded, with a recommended fix, in the Lessons Learned register rather than just fixed quietly.</w:t>
      </w:r>
    </w:p>
    <w:p>
      <w:pPr>
        <w:pStyle w:val="Heading2"/>
        <w:spacing w:after="120" w:before="260"/>
      </w:pPr>
      <w:r>
        <w:t xml:space="preserve">The Material Review Board, as a working control</w:t>
      </w:r>
    </w:p>
    <w:p>
      <w:pPr>
        <w:spacing w:after="160"/>
      </w:pPr>
      <w:r>
        <w:rPr>
          <w:b w:val="false"/>
          <w:bCs w:val="false"/>
          <w:i w:val="false"/>
          <w:iCs w:val="false"/>
          <w:sz w:val="21"/>
          <w:szCs w:val="21"/>
        </w:rPr>
        <w:t xml:space="preserve">Five nonconformances went through MRB
disposition across the program's life: the FAI edge-trim finding (rework), a cosmetic surface
porosity in a non-structural zone (use-as-is), an oversized fastener hole (rework, with an
engineering-approved oversized fastener), a composite ply misalignment caught by NDT (scrap — no
disposition short of scrap was defensible once the root cause was traced to layup fixture wear),
and a raw material lot with a missing traceability code (return-to-supplier, before it ever touched
production). Four different dispositions, out of the four the standard allows, on one program — a
reasonable illustration that MRB isn't a rubber stamp for "rework it and move on." The board itself
is intentionally cross-functional: a quality chair, an engineering representative, and a customer
representative brought in specifically for major or structural dispositions, so that no single
person can decide, alone, that a nonconforming part is good enough to fly.</w:t>
      </w:r>
    </w:p>
    <w:p>
      <w:pPr>
        <w:pStyle w:val="Heading2"/>
        <w:spacing w:after="120" w:before="260"/>
      </w:pPr>
      <w:r>
        <w:t xml:space="preserve">Discipline comparison — how this differs from the other suites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72"/>
        <w:gridCol w:w="1872"/>
        <w:gridCol w:w="1872"/>
        <w:gridCol w:w="1872"/>
        <w:gridCol w:w="1872"/>
      </w:tblGrid>
      <w:tr>
        <w:tc>
          <w:tcPr>
            <w:tcW w:type="dxa" w:w="1872"/>
            <w:shd w:fill="12213B" w:val="clear"/>
            <w:tcMar>
              <w:top w:type="dxa" w:w="60"/>
              <w:left w:type="dxa" w:w="100"/>
              <w:bottom w:type="dxa" w:w="60"/>
              <w:right w:type="dxa" w:w="100"/>
            </w:tcMar>
          </w:tcPr>
          <w:p>
            <w:r>
              <w:rPr>
                <w:b/>
                <w:bCs/>
                <w:color w:val="FFFFFF"/>
                <w:sz w:val="18"/>
                <w:szCs w:val="18"/>
              </w:rPr>
              <w:t xml:space="preserve">Discipline</w:t>
            </w:r>
          </w:p>
        </w:tc>
        <w:tc>
          <w:tcPr>
            <w:tcW w:type="dxa" w:w="1872"/>
            <w:shd w:fill="12213B" w:val="clear"/>
            <w:tcMar>
              <w:top w:type="dxa" w:w="60"/>
              <w:left w:type="dxa" w:w="100"/>
              <w:bottom w:type="dxa" w:w="60"/>
              <w:right w:type="dxa" w:w="100"/>
            </w:tcMar>
          </w:tcPr>
          <w:p>
            <w:r>
              <w:rPr>
                <w:b/>
                <w:bCs/>
                <w:color w:val="FFFFFF"/>
                <w:sz w:val="18"/>
                <w:szCs w:val="18"/>
              </w:rPr>
              <w:t xml:space="preserve">PM (Enrollment/Claims)</w:t>
            </w:r>
          </w:p>
        </w:tc>
        <w:tc>
          <w:tcPr>
            <w:tcW w:type="dxa" w:w="1872"/>
            <w:shd w:fill="12213B" w:val="clear"/>
            <w:tcMar>
              <w:top w:type="dxa" w:w="60"/>
              <w:left w:type="dxa" w:w="100"/>
              <w:bottom w:type="dxa" w:w="60"/>
              <w:right w:type="dxa" w:w="100"/>
            </w:tcMar>
          </w:tcPr>
          <w:p>
            <w:r>
              <w:rPr>
                <w:b/>
                <w:bCs/>
                <w:color w:val="FFFFFF"/>
                <w:sz w:val="18"/>
                <w:szCs w:val="18"/>
              </w:rPr>
              <w:t xml:space="preserve">Agile (MedConnect Mobile)</w:t>
            </w:r>
          </w:p>
        </w:tc>
        <w:tc>
          <w:tcPr>
            <w:tcW w:type="dxa" w:w="1872"/>
            <w:shd w:fill="12213B" w:val="clear"/>
            <w:tcMar>
              <w:top w:type="dxa" w:w="60"/>
              <w:left w:type="dxa" w:w="100"/>
              <w:bottom w:type="dxa" w:w="60"/>
              <w:right w:type="dxa" w:w="100"/>
            </w:tcMar>
          </w:tcPr>
          <w:p>
            <w:r>
              <w:rPr>
                <w:b/>
                <w:bCs/>
                <w:color w:val="FFFFFF"/>
                <w:sz w:val="18"/>
                <w:szCs w:val="18"/>
              </w:rPr>
              <w:t xml:space="preserve">Federal (BenefitConnect)</w:t>
            </w:r>
          </w:p>
        </w:tc>
        <w:tc>
          <w:tcPr>
            <w:tcW w:type="dxa" w:w="1872"/>
            <w:shd w:fill="12213B" w:val="clear"/>
            <w:tcMar>
              <w:top w:type="dxa" w:w="60"/>
              <w:left w:type="dxa" w:w="100"/>
              <w:bottom w:type="dxa" w:w="60"/>
              <w:right w:type="dxa" w:w="100"/>
            </w:tcMar>
          </w:tcPr>
          <w:p>
            <w:r>
              <w:rPr>
                <w:b/>
                <w:bCs/>
                <w:color w:val="FFFFFF"/>
                <w:sz w:val="18"/>
                <w:szCs w:val="18"/>
              </w:rPr>
              <w:t xml:space="preserve">Aerospace (this suite)</w:t>
            </w:r>
          </w:p>
        </w:tc>
      </w:tr>
      <w:tr>
        <w:tc>
          <w:tcPr>
            <w:tcW w:type="dxa" w:w="1872"/>
            <w:tcMar>
              <w:top w:type="dxa" w:w="60"/>
              <w:left w:type="dxa" w:w="100"/>
              <w:bottom w:type="dxa" w:w="60"/>
              <w:right w:type="dxa" w:w="100"/>
            </w:tcMar>
          </w:tcPr>
          <w:p>
            <w:r>
              <w:rPr>
                <w:b w:val="false"/>
                <w:bCs w:val="false"/>
                <w:sz w:val="18"/>
                <w:szCs w:val="18"/>
              </w:rPr>
              <w:t xml:space="preserve">Governing framework</w:t>
            </w:r>
          </w:p>
        </w:tc>
        <w:tc>
          <w:tcPr>
            <w:tcW w:type="dxa" w:w="1872"/>
            <w:tcMar>
              <w:top w:type="dxa" w:w="60"/>
              <w:left w:type="dxa" w:w="100"/>
              <w:bottom w:type="dxa" w:w="60"/>
              <w:right w:type="dxa" w:w="100"/>
            </w:tcMar>
          </w:tcPr>
          <w:p>
            <w:r>
              <w:rPr>
                <w:b w:val="false"/>
                <w:bCs w:val="false"/>
                <w:sz w:val="18"/>
                <w:szCs w:val="18"/>
              </w:rPr>
              <w:t xml:space="preserve">PMBOK predictive</w:t>
            </w:r>
          </w:p>
        </w:tc>
        <w:tc>
          <w:tcPr>
            <w:tcW w:type="dxa" w:w="1872"/>
            <w:tcMar>
              <w:top w:type="dxa" w:w="60"/>
              <w:left w:type="dxa" w:w="100"/>
              <w:bottom w:type="dxa" w:w="60"/>
              <w:right w:type="dxa" w:w="100"/>
            </w:tcMar>
          </w:tcPr>
          <w:p>
            <w:r>
              <w:rPr>
                <w:b w:val="false"/>
                <w:bCs w:val="false"/>
                <w:sz w:val="18"/>
                <w:szCs w:val="18"/>
              </w:rPr>
              <w:t xml:space="preserve">Scrum/Agile</w:t>
            </w:r>
          </w:p>
        </w:tc>
        <w:tc>
          <w:tcPr>
            <w:tcW w:type="dxa" w:w="1872"/>
            <w:tcMar>
              <w:top w:type="dxa" w:w="60"/>
              <w:left w:type="dxa" w:w="100"/>
              <w:bottom w:type="dxa" w:w="60"/>
              <w:right w:type="dxa" w:w="100"/>
            </w:tcMar>
          </w:tcPr>
          <w:p>
            <w:r>
              <w:rPr>
                <w:b w:val="false"/>
                <w:bCs w:val="false"/>
                <w:sz w:val="18"/>
                <w:szCs w:val="18"/>
              </w:rPr>
              <w:t xml:space="preserve">PMBOK + FAR/federal compliance</w:t>
            </w:r>
          </w:p>
        </w:tc>
        <w:tc>
          <w:tcPr>
            <w:tcW w:type="dxa" w:w="1872"/>
            <w:tcMar>
              <w:top w:type="dxa" w:w="60"/>
              <w:left w:type="dxa" w:w="100"/>
              <w:bottom w:type="dxa" w:w="60"/>
              <w:right w:type="dxa" w:w="100"/>
            </w:tcMar>
          </w:tcPr>
          <w:p>
            <w:r>
              <w:rPr>
                <w:b w:val="false"/>
                <w:bCs w:val="false"/>
                <w:sz w:val="18"/>
                <w:szCs w:val="18"/>
              </w:rPr>
              <w:t xml:space="preserve">PMBOK + AS9100 quality system</w:t>
            </w:r>
          </w:p>
        </w:tc>
      </w:tr>
      <w:tr>
        <w:tc>
          <w:tcPr>
            <w:tcW w:type="dxa" w:w="1872"/>
            <w:shd w:fill="FAFBFC" w:val="clear"/>
            <w:tcMar>
              <w:top w:type="dxa" w:w="60"/>
              <w:left w:type="dxa" w:w="100"/>
              <w:bottom w:type="dxa" w:w="60"/>
              <w:right w:type="dxa" w:w="100"/>
            </w:tcMar>
          </w:tcPr>
          <w:p>
            <w:r>
              <w:rPr>
                <w:b w:val="false"/>
                <w:bCs w:val="false"/>
                <w:sz w:val="18"/>
                <w:szCs w:val="18"/>
              </w:rPr>
              <w:t xml:space="preserve">The hard gate</w:t>
            </w:r>
          </w:p>
        </w:tc>
        <w:tc>
          <w:tcPr>
            <w:tcW w:type="dxa" w:w="1872"/>
            <w:shd w:fill="FAFBFC" w:val="clear"/>
            <w:tcMar>
              <w:top w:type="dxa" w:w="60"/>
              <w:left w:type="dxa" w:w="100"/>
              <w:bottom w:type="dxa" w:w="60"/>
              <w:right w:type="dxa" w:w="100"/>
            </w:tcMar>
          </w:tcPr>
          <w:p>
            <w:r>
              <w:rPr>
                <w:b w:val="false"/>
                <w:bCs w:val="false"/>
                <w:sz w:val="18"/>
                <w:szCs w:val="18"/>
              </w:rPr>
              <w:t xml:space="preserve">Go-live cutover</w:t>
            </w:r>
          </w:p>
        </w:tc>
        <w:tc>
          <w:tcPr>
            <w:tcW w:type="dxa" w:w="1872"/>
            <w:shd w:fill="FAFBFC" w:val="clear"/>
            <w:tcMar>
              <w:top w:type="dxa" w:w="60"/>
              <w:left w:type="dxa" w:w="100"/>
              <w:bottom w:type="dxa" w:w="60"/>
              <w:right w:type="dxa" w:w="100"/>
            </w:tcMar>
          </w:tcPr>
          <w:p>
            <w:r>
              <w:rPr>
                <w:b w:val="false"/>
                <w:bCs w:val="false"/>
                <w:sz w:val="18"/>
                <w:szCs w:val="18"/>
              </w:rPr>
              <w:t xml:space="preserve">Sprint/release cadence</w:t>
            </w:r>
          </w:p>
        </w:tc>
        <w:tc>
          <w:tcPr>
            <w:tcW w:type="dxa" w:w="1872"/>
            <w:shd w:fill="FAFBFC" w:val="clear"/>
            <w:tcMar>
              <w:top w:type="dxa" w:w="60"/>
              <w:left w:type="dxa" w:w="100"/>
              <w:bottom w:type="dxa" w:w="60"/>
              <w:right w:type="dxa" w:w="100"/>
            </w:tcMar>
          </w:tcPr>
          <w:p>
            <w:r>
              <w:rPr>
                <w:b w:val="false"/>
                <w:bCs w:val="false"/>
                <w:sz w:val="18"/>
                <w:szCs w:val="18"/>
              </w:rPr>
              <w:t xml:space="preserve">ATO (Authority to Operate)</w:t>
            </w:r>
          </w:p>
        </w:tc>
        <w:tc>
          <w:tcPr>
            <w:tcW w:type="dxa" w:w="1872"/>
            <w:shd w:fill="FAFBFC" w:val="clear"/>
            <w:tcMar>
              <w:top w:type="dxa" w:w="60"/>
              <w:left w:type="dxa" w:w="100"/>
              <w:bottom w:type="dxa" w:w="60"/>
              <w:right w:type="dxa" w:w="100"/>
            </w:tcMar>
          </w:tcPr>
          <w:p>
            <w:r>
              <w:rPr>
                <w:b w:val="false"/>
                <w:bCs w:val="false"/>
                <w:sz w:val="18"/>
                <w:szCs w:val="18"/>
              </w:rPr>
              <w:t xml:space="preserve">First Article Inspection (AS9102)</w:t>
            </w:r>
          </w:p>
        </w:tc>
      </w:tr>
      <w:tr>
        <w:tc>
          <w:tcPr>
            <w:tcW w:type="dxa" w:w="1872"/>
            <w:tcMar>
              <w:top w:type="dxa" w:w="60"/>
              <w:left w:type="dxa" w:w="100"/>
              <w:bottom w:type="dxa" w:w="60"/>
              <w:right w:type="dxa" w:w="100"/>
            </w:tcMar>
          </w:tcPr>
          <w:p>
            <w:r>
              <w:rPr>
                <w:b w:val="false"/>
                <w:bCs w:val="false"/>
                <w:sz w:val="18"/>
                <w:szCs w:val="18"/>
              </w:rPr>
              <w:t xml:space="preserve">The nonconformance control</w:t>
            </w:r>
          </w:p>
        </w:tc>
        <w:tc>
          <w:tcPr>
            <w:tcW w:type="dxa" w:w="1872"/>
            <w:tcMar>
              <w:top w:type="dxa" w:w="60"/>
              <w:left w:type="dxa" w:w="100"/>
              <w:bottom w:type="dxa" w:w="60"/>
              <w:right w:type="dxa" w:w="100"/>
            </w:tcMar>
          </w:tcPr>
          <w:p>
            <w:r>
              <w:rPr>
                <w:b w:val="false"/>
                <w:bCs w:val="false"/>
                <w:sz w:val="18"/>
                <w:szCs w:val="18"/>
              </w:rPr>
              <w:t xml:space="preserve">Change control log</w:t>
            </w:r>
          </w:p>
        </w:tc>
        <w:tc>
          <w:tcPr>
            <w:tcW w:type="dxa" w:w="1872"/>
            <w:tcMar>
              <w:top w:type="dxa" w:w="60"/>
              <w:left w:type="dxa" w:w="100"/>
              <w:bottom w:type="dxa" w:w="60"/>
              <w:right w:type="dxa" w:w="100"/>
            </w:tcMar>
          </w:tcPr>
          <w:p>
            <w:r>
              <w:rPr>
                <w:b w:val="false"/>
                <w:bCs w:val="false"/>
                <w:sz w:val="18"/>
                <w:szCs w:val="18"/>
              </w:rPr>
              <w:t xml:space="preserve">Bug/defect backlog</w:t>
            </w:r>
          </w:p>
        </w:tc>
        <w:tc>
          <w:tcPr>
            <w:tcW w:type="dxa" w:w="1872"/>
            <w:tcMar>
              <w:top w:type="dxa" w:w="60"/>
              <w:left w:type="dxa" w:w="100"/>
              <w:bottom w:type="dxa" w:w="60"/>
              <w:right w:type="dxa" w:w="100"/>
            </w:tcMar>
          </w:tcPr>
          <w:p>
            <w:r>
              <w:rPr>
                <w:b w:val="false"/>
                <w:bCs w:val="false"/>
                <w:sz w:val="18"/>
                <w:szCs w:val="18"/>
              </w:rPr>
              <w:t xml:space="preserve">Contract mod log</w:t>
            </w:r>
          </w:p>
        </w:tc>
        <w:tc>
          <w:tcPr>
            <w:tcW w:type="dxa" w:w="1872"/>
            <w:tcMar>
              <w:top w:type="dxa" w:w="60"/>
              <w:left w:type="dxa" w:w="100"/>
              <w:bottom w:type="dxa" w:w="60"/>
              <w:right w:type="dxa" w:w="100"/>
            </w:tcMar>
          </w:tcPr>
          <w:p>
            <w:r>
              <w:rPr>
                <w:b w:val="false"/>
                <w:bCs w:val="false"/>
                <w:sz w:val="18"/>
                <w:szCs w:val="18"/>
              </w:rPr>
              <w:t xml:space="preserve">Material Review Board</w:t>
            </w:r>
          </w:p>
        </w:tc>
      </w:tr>
      <w:tr>
        <w:tc>
          <w:tcPr>
            <w:tcW w:type="dxa" w:w="1872"/>
            <w:shd w:fill="FAFBFC" w:val="clear"/>
            <w:tcMar>
              <w:top w:type="dxa" w:w="60"/>
              <w:left w:type="dxa" w:w="100"/>
              <w:bottom w:type="dxa" w:w="60"/>
              <w:right w:type="dxa" w:w="100"/>
            </w:tcMar>
          </w:tcPr>
          <w:p>
            <w:r>
              <w:rPr>
                <w:b w:val="false"/>
                <w:bCs w:val="false"/>
                <w:sz w:val="18"/>
                <w:szCs w:val="18"/>
              </w:rPr>
              <w:t xml:space="preserve">The compliance layer</w:t>
            </w:r>
          </w:p>
        </w:tc>
        <w:tc>
          <w:tcPr>
            <w:tcW w:type="dxa" w:w="1872"/>
            <w:shd w:fill="FAFBFC" w:val="clear"/>
            <w:tcMar>
              <w:top w:type="dxa" w:w="60"/>
              <w:left w:type="dxa" w:w="100"/>
              <w:bottom w:type="dxa" w:w="60"/>
              <w:right w:type="dxa" w:w="100"/>
            </w:tcMar>
          </w:tcPr>
          <w:p>
            <w:r>
              <w:rPr>
                <w:b w:val="false"/>
                <w:bCs w:val="false"/>
                <w:sz w:val="18"/>
                <w:szCs w:val="18"/>
              </w:rPr>
              <w:t xml:space="preserve">None</w:t>
            </w:r>
          </w:p>
        </w:tc>
        <w:tc>
          <w:tcPr>
            <w:tcW w:type="dxa" w:w="1872"/>
            <w:shd w:fill="FAFBFC" w:val="clear"/>
            <w:tcMar>
              <w:top w:type="dxa" w:w="60"/>
              <w:left w:type="dxa" w:w="100"/>
              <w:bottom w:type="dxa" w:w="60"/>
              <w:right w:type="dxa" w:w="100"/>
            </w:tcMar>
          </w:tcPr>
          <w:p>
            <w:r>
              <w:rPr>
                <w:b w:val="false"/>
                <w:bCs w:val="false"/>
                <w:sz w:val="18"/>
                <w:szCs w:val="18"/>
              </w:rPr>
              <w:t xml:space="preserve">None</w:t>
            </w:r>
          </w:p>
        </w:tc>
        <w:tc>
          <w:tcPr>
            <w:tcW w:type="dxa" w:w="1872"/>
            <w:shd w:fill="FAFBFC" w:val="clear"/>
            <w:tcMar>
              <w:top w:type="dxa" w:w="60"/>
              <w:left w:type="dxa" w:w="100"/>
              <w:bottom w:type="dxa" w:w="60"/>
              <w:right w:type="dxa" w:w="100"/>
            </w:tcMar>
          </w:tcPr>
          <w:p>
            <w:r>
              <w:rPr>
                <w:b w:val="false"/>
                <w:bCs w:val="false"/>
                <w:sz w:val="18"/>
                <w:szCs w:val="18"/>
              </w:rPr>
              <w:t xml:space="preserve">Section 508 / ATO / RMF</w:t>
            </w:r>
          </w:p>
        </w:tc>
        <w:tc>
          <w:tcPr>
            <w:tcW w:type="dxa" w:w="1872"/>
            <w:shd w:fill="FAFBFC" w:val="clear"/>
            <w:tcMar>
              <w:top w:type="dxa" w:w="60"/>
              <w:left w:type="dxa" w:w="100"/>
              <w:bottom w:type="dxa" w:w="60"/>
              <w:right w:type="dxa" w:w="100"/>
            </w:tcMar>
          </w:tcPr>
          <w:p>
            <w:r>
              <w:rPr>
                <w:b w:val="false"/>
                <w:bCs w:val="false"/>
                <w:sz w:val="18"/>
                <w:szCs w:val="18"/>
              </w:rPr>
              <w:t xml:space="preserve">AS9100 / PPAP / traceability</w:t>
            </w:r>
          </w:p>
        </w:tc>
      </w:tr>
      <w:tr>
        <w:tc>
          <w:tcPr>
            <w:tcW w:type="dxa" w:w="1872"/>
            <w:tcMar>
              <w:top w:type="dxa" w:w="60"/>
              <w:left w:type="dxa" w:w="100"/>
              <w:bottom w:type="dxa" w:w="60"/>
              <w:right w:type="dxa" w:w="100"/>
            </w:tcMar>
          </w:tcPr>
          <w:p>
            <w:r>
              <w:rPr>
                <w:b w:val="false"/>
                <w:bCs w:val="false"/>
                <w:sz w:val="18"/>
                <w:szCs w:val="18"/>
              </w:rPr>
              <w:t xml:space="preserve">Contract type</w:t>
            </w:r>
          </w:p>
        </w:tc>
        <w:tc>
          <w:tcPr>
            <w:tcW w:type="dxa" w:w="1872"/>
            <w:tcMar>
              <w:top w:type="dxa" w:w="60"/>
              <w:left w:type="dxa" w:w="100"/>
              <w:bottom w:type="dxa" w:w="60"/>
              <w:right w:type="dxa" w:w="100"/>
            </w:tcMar>
          </w:tcPr>
          <w:p>
            <w:r>
              <w:rPr>
                <w:b w:val="false"/>
                <w:bCs w:val="false"/>
                <w:sz w:val="18"/>
                <w:szCs w:val="18"/>
              </w:rPr>
              <w:t xml:space="preserve">Internal capital project</w:t>
            </w:r>
          </w:p>
        </w:tc>
        <w:tc>
          <w:tcPr>
            <w:tcW w:type="dxa" w:w="1872"/>
            <w:tcMar>
              <w:top w:type="dxa" w:w="60"/>
              <w:left w:type="dxa" w:w="100"/>
              <w:bottom w:type="dxa" w:w="60"/>
              <w:right w:type="dxa" w:w="100"/>
            </w:tcMar>
          </w:tcPr>
          <w:p>
            <w:r>
              <w:rPr>
                <w:b w:val="false"/>
                <w:bCs w:val="false"/>
                <w:sz w:val="18"/>
                <w:szCs w:val="18"/>
              </w:rPr>
              <w:t xml:space="preserve">Internal capital project</w:t>
            </w:r>
          </w:p>
        </w:tc>
        <w:tc>
          <w:tcPr>
            <w:tcW w:type="dxa" w:w="1872"/>
            <w:tcMar>
              <w:top w:type="dxa" w:w="60"/>
              <w:left w:type="dxa" w:w="100"/>
              <w:bottom w:type="dxa" w:w="60"/>
              <w:right w:type="dxa" w:w="100"/>
            </w:tcMar>
          </w:tcPr>
          <w:p>
            <w:r>
              <w:rPr>
                <w:b w:val="false"/>
                <w:bCs w:val="false"/>
                <w:sz w:val="18"/>
                <w:szCs w:val="18"/>
              </w:rPr>
              <w:t xml:space="preserve">Federal Task Order (FAR-governed)</w:t>
            </w:r>
          </w:p>
        </w:tc>
        <w:tc>
          <w:tcPr>
            <w:tcW w:type="dxa" w:w="1872"/>
            <w:tcMar>
              <w:top w:type="dxa" w:w="60"/>
              <w:left w:type="dxa" w:w="100"/>
              <w:bottom w:type="dxa" w:w="60"/>
              <w:right w:type="dxa" w:w="100"/>
            </w:tcMar>
          </w:tcPr>
          <w:p>
            <w:r>
              <w:rPr>
                <w:b w:val="false"/>
                <w:bCs w:val="false"/>
                <w:sz w:val="18"/>
                <w:szCs w:val="18"/>
              </w:rPr>
              <w:t xml:space="preserve">Commercial fixed-price production</w:t>
            </w:r>
          </w:p>
        </w:tc>
      </w:tr>
    </w:tbl>
    <w:p>
      <w:pPr>
        <w:spacing w:after="160"/>
      </w:pPr>
    </w:p>
    <w:p>
      <w:pPr>
        <w:spacing w:after="160"/>
      </w:pPr>
      <w:r>
        <w:rPr>
          <w:b w:val="false"/>
          <w:bCs w:val="false"/>
          <w:i w:val="false"/>
          <w:iCs w:val="false"/>
          <w:sz w:val="21"/>
          <w:szCs w:val="21"/>
        </w:rPr>
        <w:t xml:space="preserve">The pattern across all four suites is
the same: a predictive or hybrid PM skeleton (charter, budget, resource plan, RAIDD, governance,
closeout) carries the program, and a domain-specific compliance layer sits on top of it that decides
what "done" and "acceptable" actually mean. For Federal, that's ATO and Section 508. For Aerospace,
it's AS9100, FAI, and MRB. The skeleton transfers; the compliance mechanics don't.</w:t>
      </w:r>
    </w:p>
    <w:p>
      <w:pPr>
        <w:pStyle w:val="Heading2"/>
        <w:spacing w:after="120" w:before="260"/>
      </w:pPr>
      <w:r>
        <w:t xml:space="preserve">This program, by the numbers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shd w:fill="12213B" w:val="clear"/>
            <w:tcMar>
              <w:top w:type="dxa" w:w="60"/>
              <w:left w:type="dxa" w:w="100"/>
              <w:bottom w:type="dxa" w:w="60"/>
              <w:right w:type="dxa" w:w="100"/>
            </w:tcMar>
          </w:tcPr>
          <w:p>
            <w:r>
              <w:rPr>
                <w:b/>
                <w:bCs/>
                <w:color w:val="FFFFFF"/>
                <w:sz w:val="18"/>
                <w:szCs w:val="18"/>
              </w:rPr>
              <w:t xml:space="preserve">Metric</w:t>
            </w:r>
          </w:p>
        </w:tc>
        <w:tc>
          <w:tcPr>
            <w:tcW w:type="dxa" w:w="4680"/>
            <w:shd w:fill="12213B" w:val="clear"/>
            <w:tcMar>
              <w:top w:type="dxa" w:w="60"/>
              <w:left w:type="dxa" w:w="100"/>
              <w:bottom w:type="dxa" w:w="60"/>
              <w:right w:type="dxa" w:w="100"/>
            </w:tcMar>
          </w:tcPr>
          <w:p>
            <w:r>
              <w:rPr>
                <w:b/>
                <w:bCs/>
                <w:color w:val="FFFFFF"/>
                <w:sz w:val="18"/>
                <w:szCs w:val="18"/>
              </w:rPr>
              <w:t xml:space="preserve">Value</w:t>
            </w:r>
          </w:p>
        </w:tc>
      </w:tr>
      <w:tr>
        <w:tc>
          <w:tcPr>
            <w:tcW w:type="dxa" w:w="4680"/>
            <w:tcMar>
              <w:top w:type="dxa" w:w="60"/>
              <w:left w:type="dxa" w:w="100"/>
              <w:bottom w:type="dxa" w:w="60"/>
              <w:right w:type="dxa" w:w="100"/>
            </w:tcMar>
          </w:tcPr>
          <w:p>
            <w:r>
              <w:rPr>
                <w:b w:val="false"/>
                <w:bCs w:val="false"/>
                <w:sz w:val="18"/>
                <w:szCs w:val="18"/>
              </w:rPr>
              <w:t xml:space="preserve">Total program budget</w:t>
            </w:r>
          </w:p>
        </w:tc>
        <w:tc>
          <w:tcPr>
            <w:tcW w:type="dxa" w:w="4680"/>
            <w:tcMar>
              <w:top w:type="dxa" w:w="60"/>
              <w:left w:type="dxa" w:w="100"/>
              <w:bottom w:type="dxa" w:w="60"/>
              <w:right w:type="dxa" w:w="100"/>
            </w:tcMar>
          </w:tcPr>
          <w:p>
            <w:r>
              <w:rPr>
                <w:b w:val="false"/>
                <w:bCs w:val="false"/>
                <w:sz w:val="18"/>
                <w:szCs w:val="18"/>
              </w:rPr>
              <w:t xml:space="preserve">$3,500,000</w:t>
            </w:r>
          </w:p>
        </w:tc>
      </w:tr>
      <w:tr>
        <w:tc>
          <w:tcPr>
            <w:tcW w:type="dxa" w:w="4680"/>
            <w:shd w:fill="FAFBFC" w:val="clear"/>
            <w:tcMar>
              <w:top w:type="dxa" w:w="60"/>
              <w:left w:type="dxa" w:w="100"/>
              <w:bottom w:type="dxa" w:w="60"/>
              <w:right w:type="dxa" w:w="100"/>
            </w:tcMar>
          </w:tcPr>
          <w:p>
            <w:r>
              <w:rPr>
                <w:b w:val="false"/>
                <w:bCs w:val="false"/>
                <w:sz w:val="18"/>
                <w:szCs w:val="18"/>
              </w:rPr>
              <w:t xml:space="preserve">Total labor</w:t>
            </w:r>
          </w:p>
        </w:tc>
        <w:tc>
          <w:tcPr>
            <w:tcW w:type="dxa" w:w="4680"/>
            <w:shd w:fill="FAFBFC" w:val="clear"/>
            <w:tcMar>
              <w:top w:type="dxa" w:w="60"/>
              <w:left w:type="dxa" w:w="100"/>
              <w:bottom w:type="dxa" w:w="60"/>
              <w:right w:type="dxa" w:w="100"/>
            </w:tcMar>
          </w:tcPr>
          <w:p>
            <w:r>
              <w:rPr>
                <w:b w:val="false"/>
                <w:bCs w:val="false"/>
                <w:sz w:val="18"/>
                <w:szCs w:val="18"/>
              </w:rPr>
              <w:t xml:space="preserve">$2,710,000 (Phase 1: $755,000 / Phase 2: $1,955,000)</w:t>
            </w:r>
          </w:p>
        </w:tc>
      </w:tr>
      <w:tr>
        <w:tc>
          <w:tcPr>
            <w:tcW w:type="dxa" w:w="4680"/>
            <w:tcMar>
              <w:top w:type="dxa" w:w="60"/>
              <w:left w:type="dxa" w:w="100"/>
              <w:bottom w:type="dxa" w:w="60"/>
              <w:right w:type="dxa" w:w="100"/>
            </w:tcMar>
          </w:tcPr>
          <w:p>
            <w:r>
              <w:rPr>
                <w:b w:val="false"/>
                <w:bCs w:val="false"/>
                <w:sz w:val="18"/>
                <w:szCs w:val="18"/>
              </w:rPr>
              <w:t xml:space="preserve">Non-labor (tooling, FAI lab, materials, travel)</w:t>
            </w:r>
          </w:p>
        </w:tc>
        <w:tc>
          <w:tcPr>
            <w:tcW w:type="dxa" w:w="4680"/>
            <w:tcMar>
              <w:top w:type="dxa" w:w="60"/>
              <w:left w:type="dxa" w:w="100"/>
              <w:bottom w:type="dxa" w:w="60"/>
              <w:right w:type="dxa" w:w="100"/>
            </w:tcMar>
          </w:tcPr>
          <w:p>
            <w:r>
              <w:rPr>
                <w:b w:val="false"/>
                <w:bCs w:val="false"/>
                <w:sz w:val="18"/>
                <w:szCs w:val="18"/>
              </w:rPr>
              <w:t xml:space="preserve">$640,000</w:t>
            </w:r>
          </w:p>
        </w:tc>
      </w:tr>
      <w:tr>
        <w:tc>
          <w:tcPr>
            <w:tcW w:type="dxa" w:w="4680"/>
            <w:shd w:fill="FAFBFC" w:val="clear"/>
            <w:tcMar>
              <w:top w:type="dxa" w:w="60"/>
              <w:left w:type="dxa" w:w="100"/>
              <w:bottom w:type="dxa" w:w="60"/>
              <w:right w:type="dxa" w:w="100"/>
            </w:tcMar>
          </w:tcPr>
          <w:p>
            <w:r>
              <w:rPr>
                <w:b w:val="false"/>
                <w:bCs w:val="false"/>
                <w:sz w:val="18"/>
                <w:szCs w:val="18"/>
              </w:rPr>
              <w:t xml:space="preserve">Program management reserve</w:t>
            </w:r>
          </w:p>
        </w:tc>
        <w:tc>
          <w:tcPr>
            <w:tcW w:type="dxa" w:w="4680"/>
            <w:shd w:fill="FAFBFC" w:val="clear"/>
            <w:tcMar>
              <w:top w:type="dxa" w:w="60"/>
              <w:left w:type="dxa" w:w="100"/>
              <w:bottom w:type="dxa" w:w="60"/>
              <w:right w:type="dxa" w:w="100"/>
            </w:tcMar>
          </w:tcPr>
          <w:p>
            <w:r>
              <w:rPr>
                <w:b w:val="false"/>
                <w:bCs w:val="false"/>
                <w:sz w:val="18"/>
                <w:szCs w:val="18"/>
              </w:rPr>
              <w:t xml:space="preserve">$150,000 (fully undrawn at closeout)</w:t>
            </w:r>
          </w:p>
        </w:tc>
      </w:tr>
      <w:tr>
        <w:tc>
          <w:tcPr>
            <w:tcW w:type="dxa" w:w="4680"/>
            <w:tcMar>
              <w:top w:type="dxa" w:w="60"/>
              <w:left w:type="dxa" w:w="100"/>
              <w:bottom w:type="dxa" w:w="60"/>
              <w:right w:type="dxa" w:w="100"/>
            </w:tcMar>
          </w:tcPr>
          <w:p>
            <w:r>
              <w:rPr>
                <w:b w:val="false"/>
                <w:bCs w:val="false"/>
                <w:sz w:val="18"/>
                <w:szCs w:val="18"/>
              </w:rPr>
              <w:t xml:space="preserve">MRB cases across the program</w:t>
            </w:r>
          </w:p>
        </w:tc>
        <w:tc>
          <w:tcPr>
            <w:tcW w:type="dxa" w:w="4680"/>
            <w:tcMar>
              <w:top w:type="dxa" w:w="60"/>
              <w:left w:type="dxa" w:w="100"/>
              <w:bottom w:type="dxa" w:w="60"/>
              <w:right w:type="dxa" w:w="100"/>
            </w:tcMar>
          </w:tcPr>
          <w:p>
            <w:r>
              <w:rPr>
                <w:b w:val="false"/>
                <w:bCs w:val="false"/>
                <w:sz w:val="18"/>
                <w:szCs w:val="18"/>
              </w:rPr>
              <w:t xml:space="preserve">5 (1 rework at FAI, 2 rework, 1 scrap, 1 return-to-supplier)</w:t>
            </w:r>
          </w:p>
        </w:tc>
      </w:tr>
      <w:tr>
        <w:tc>
          <w:tcPr>
            <w:tcW w:type="dxa" w:w="4680"/>
            <w:shd w:fill="FAFBFC" w:val="clear"/>
            <w:tcMar>
              <w:top w:type="dxa" w:w="60"/>
              <w:left w:type="dxa" w:w="100"/>
              <w:bottom w:type="dxa" w:w="60"/>
              <w:right w:type="dxa" w:w="100"/>
            </w:tcMar>
          </w:tcPr>
          <w:p>
            <w:r>
              <w:rPr>
                <w:b w:val="false"/>
                <w:bCs w:val="false"/>
                <w:sz w:val="18"/>
                <w:szCs w:val="18"/>
              </w:rPr>
              <w:t xml:space="preserve">Lessons Learned entries</w:t>
            </w:r>
          </w:p>
        </w:tc>
        <w:tc>
          <w:tcPr>
            <w:tcW w:type="dxa" w:w="4680"/>
            <w:shd w:fill="FAFBFC" w:val="clear"/>
            <w:tcMar>
              <w:top w:type="dxa" w:w="60"/>
              <w:left w:type="dxa" w:w="100"/>
              <w:bottom w:type="dxa" w:w="60"/>
              <w:right w:type="dxa" w:w="100"/>
            </w:tcMar>
          </w:tcPr>
          <w:p>
            <w:r>
              <w:rPr>
                <w:b w:val="false"/>
                <w:bCs w:val="false"/>
                <w:sz w:val="18"/>
                <w:szCs w:val="18"/>
              </w:rPr>
              <w:t xml:space="preserve">10 (8 improvement, 2 positive)</w:t>
            </w:r>
          </w:p>
        </w:tc>
      </w:tr>
      <w:tr>
        <w:tc>
          <w:tcPr>
            <w:tcW w:type="dxa" w:w="4680"/>
            <w:tcMar>
              <w:top w:type="dxa" w:w="60"/>
              <w:left w:type="dxa" w:w="100"/>
              <w:bottom w:type="dxa" w:w="60"/>
              <w:right w:type="dxa" w:w="100"/>
            </w:tcMar>
          </w:tcPr>
          <w:p>
            <w:r>
              <w:rPr>
                <w:b w:val="false"/>
                <w:bCs w:val="false"/>
                <w:sz w:val="18"/>
                <w:szCs w:val="18"/>
              </w:rPr>
              <w:t xml:space="preserve">Estimated ROI on quality investment (CBA)</w:t>
            </w:r>
          </w:p>
        </w:tc>
        <w:tc>
          <w:tcPr>
            <w:tcW w:type="dxa" w:w="4680"/>
            <w:tcMar>
              <w:top w:type="dxa" w:w="60"/>
              <w:left w:type="dxa" w:w="100"/>
              <w:bottom w:type="dxa" w:w="60"/>
              <w:right w:type="dxa" w:w="100"/>
            </w:tcMar>
          </w:tcPr>
          <w:p>
            <w:r>
              <w:rPr>
                <w:b w:val="false"/>
                <w:bCs w:val="false"/>
                <w:sz w:val="18"/>
                <w:szCs w:val="18"/>
              </w:rPr>
              <w:t xml:space="preserve">6.6x</w:t>
            </w:r>
          </w:p>
        </w:tc>
      </w:tr>
    </w:tbl>
    <w:p>
      <w:pPr>
        <w:spacing w:after="160"/>
      </w:pPr>
    </w:p>
    <w:p>
      <w:pPr>
        <w:pStyle w:val="Heading2"/>
        <w:spacing w:after="120" w:before="260"/>
      </w:pPr>
      <w:r>
        <w:t xml:space="preserve">Roles on this program</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shd w:fill="12213B" w:val="clear"/>
            <w:tcMar>
              <w:top w:type="dxa" w:w="60"/>
              <w:left w:type="dxa" w:w="100"/>
              <w:bottom w:type="dxa" w:w="60"/>
              <w:right w:type="dxa" w:w="100"/>
            </w:tcMar>
          </w:tcPr>
          <w:p>
            <w:r>
              <w:rPr>
                <w:b/>
                <w:bCs/>
                <w:color w:val="FFFFFF"/>
                <w:sz w:val="18"/>
                <w:szCs w:val="18"/>
              </w:rPr>
              <w:t xml:space="preserve">Role</w:t>
            </w:r>
          </w:p>
        </w:tc>
        <w:tc>
          <w:tcPr>
            <w:tcW w:type="dxa" w:w="4680"/>
            <w:shd w:fill="12213B" w:val="clear"/>
            <w:tcMar>
              <w:top w:type="dxa" w:w="60"/>
              <w:left w:type="dxa" w:w="100"/>
              <w:bottom w:type="dxa" w:w="60"/>
              <w:right w:type="dxa" w:w="100"/>
            </w:tcMar>
          </w:tcPr>
          <w:p>
            <w:r>
              <w:rPr>
                <w:b/>
                <w:bCs/>
                <w:color w:val="FFFFFF"/>
                <w:sz w:val="18"/>
                <w:szCs w:val="18"/>
              </w:rPr>
              <w:t xml:space="preserve">Owns</w:t>
            </w:r>
          </w:p>
        </w:tc>
      </w:tr>
      <w:tr>
        <w:tc>
          <w:tcPr>
            <w:tcW w:type="dxa" w:w="4680"/>
            <w:tcMar>
              <w:top w:type="dxa" w:w="60"/>
              <w:left w:type="dxa" w:w="100"/>
              <w:bottom w:type="dxa" w:w="60"/>
              <w:right w:type="dxa" w:w="100"/>
            </w:tcMar>
          </w:tcPr>
          <w:p>
            <w:r>
              <w:rPr>
                <w:b w:val="false"/>
                <w:bCs w:val="false"/>
                <w:sz w:val="18"/>
                <w:szCs w:val="18"/>
              </w:rPr>
              <w:t xml:space="preserve">Program Manager</w:t>
            </w:r>
          </w:p>
        </w:tc>
        <w:tc>
          <w:tcPr>
            <w:tcW w:type="dxa" w:w="4680"/>
            <w:tcMar>
              <w:top w:type="dxa" w:w="60"/>
              <w:left w:type="dxa" w:w="100"/>
              <w:bottom w:type="dxa" w:w="60"/>
              <w:right w:type="dxa" w:w="100"/>
            </w:tcMar>
          </w:tcPr>
          <w:p>
            <w:r>
              <w:rPr>
                <w:b w:val="false"/>
                <w:bCs w:val="false"/>
                <w:sz w:val="18"/>
                <w:szCs w:val="18"/>
              </w:rPr>
              <w:t xml:space="preserve">Schedule, budget, customer relationship, overall program health</w:t>
            </w:r>
          </w:p>
        </w:tc>
      </w:tr>
      <w:tr>
        <w:tc>
          <w:tcPr>
            <w:tcW w:type="dxa" w:w="4680"/>
            <w:shd w:fill="FAFBFC" w:val="clear"/>
            <w:tcMar>
              <w:top w:type="dxa" w:w="60"/>
              <w:left w:type="dxa" w:w="100"/>
              <w:bottom w:type="dxa" w:w="60"/>
              <w:right w:type="dxa" w:w="100"/>
            </w:tcMar>
          </w:tcPr>
          <w:p>
            <w:r>
              <w:rPr>
                <w:b w:val="false"/>
                <w:bCs w:val="false"/>
                <w:sz w:val="18"/>
                <w:szCs w:val="18"/>
              </w:rPr>
              <w:t xml:space="preserve">Quality Engineering Lead</w:t>
            </w:r>
          </w:p>
        </w:tc>
        <w:tc>
          <w:tcPr>
            <w:tcW w:type="dxa" w:w="4680"/>
            <w:shd w:fill="FAFBFC" w:val="clear"/>
            <w:tcMar>
              <w:top w:type="dxa" w:w="60"/>
              <w:left w:type="dxa" w:w="100"/>
              <w:bottom w:type="dxa" w:w="60"/>
              <w:right w:type="dxa" w:w="100"/>
            </w:tcMar>
          </w:tcPr>
          <w:p>
            <w:r>
              <w:rPr>
                <w:b w:val="false"/>
                <w:bCs w:val="false"/>
                <w:sz w:val="18"/>
                <w:szCs w:val="18"/>
              </w:rPr>
              <w:t xml:space="preserve">AS9100 QMS ownership for the program, FAI accountability</w:t>
            </w:r>
          </w:p>
        </w:tc>
      </w:tr>
      <w:tr>
        <w:tc>
          <w:tcPr>
            <w:tcW w:type="dxa" w:w="4680"/>
            <w:tcMar>
              <w:top w:type="dxa" w:w="60"/>
              <w:left w:type="dxa" w:w="100"/>
              <w:bottom w:type="dxa" w:w="60"/>
              <w:right w:type="dxa" w:w="100"/>
            </w:tcMar>
          </w:tcPr>
          <w:p>
            <w:r>
              <w:rPr>
                <w:b w:val="false"/>
                <w:bCs w:val="false"/>
                <w:sz w:val="18"/>
                <w:szCs w:val="18"/>
              </w:rPr>
              <w:t xml:space="preserve">Manufacturing Engineer</w:t>
            </w:r>
          </w:p>
        </w:tc>
        <w:tc>
          <w:tcPr>
            <w:tcW w:type="dxa" w:w="4680"/>
            <w:tcMar>
              <w:top w:type="dxa" w:w="60"/>
              <w:left w:type="dxa" w:w="100"/>
              <w:bottom w:type="dxa" w:w="60"/>
              <w:right w:type="dxa" w:w="100"/>
            </w:tcMar>
          </w:tcPr>
          <w:p>
            <w:r>
              <w:rPr>
                <w:b w:val="false"/>
                <w:bCs w:val="false"/>
                <w:sz w:val="18"/>
                <w:szCs w:val="18"/>
              </w:rPr>
              <w:t xml:space="preserve">Production process, tooling design accountability</w:t>
            </w:r>
          </w:p>
        </w:tc>
      </w:tr>
      <w:tr>
        <w:tc>
          <w:tcPr>
            <w:tcW w:type="dxa" w:w="4680"/>
            <w:shd w:fill="FAFBFC" w:val="clear"/>
            <w:tcMar>
              <w:top w:type="dxa" w:w="60"/>
              <w:left w:type="dxa" w:w="100"/>
              <w:bottom w:type="dxa" w:w="60"/>
              <w:right w:type="dxa" w:w="100"/>
            </w:tcMar>
          </w:tcPr>
          <w:p>
            <w:r>
              <w:rPr>
                <w:b w:val="false"/>
                <w:bCs w:val="false"/>
                <w:sz w:val="18"/>
                <w:szCs w:val="18"/>
              </w:rPr>
              <w:t xml:space="preserve">Materials / NDT Engineer</w:t>
            </w:r>
          </w:p>
        </w:tc>
        <w:tc>
          <w:tcPr>
            <w:tcW w:type="dxa" w:w="4680"/>
            <w:shd w:fill="FAFBFC" w:val="clear"/>
            <w:tcMar>
              <w:top w:type="dxa" w:w="60"/>
              <w:left w:type="dxa" w:w="100"/>
              <w:bottom w:type="dxa" w:w="60"/>
              <w:right w:type="dxa" w:w="100"/>
            </w:tcMar>
          </w:tcPr>
          <w:p>
            <w:r>
              <w:rPr>
                <w:b w:val="false"/>
                <w:bCs w:val="false"/>
                <w:sz w:val="18"/>
                <w:szCs w:val="18"/>
              </w:rPr>
              <w:t xml:space="preserve">Material qualification, non-destructive inspection</w:t>
            </w:r>
          </w:p>
        </w:tc>
      </w:tr>
      <w:tr>
        <w:tc>
          <w:tcPr>
            <w:tcW w:type="dxa" w:w="4680"/>
            <w:tcMar>
              <w:top w:type="dxa" w:w="60"/>
              <w:left w:type="dxa" w:w="100"/>
              <w:bottom w:type="dxa" w:w="60"/>
              <w:right w:type="dxa" w:w="100"/>
            </w:tcMar>
          </w:tcPr>
          <w:p>
            <w:r>
              <w:rPr>
                <w:b w:val="false"/>
                <w:bCs w:val="false"/>
                <w:sz w:val="18"/>
                <w:szCs w:val="18"/>
              </w:rPr>
              <w:t xml:space="preserve">Tooling Engineer (Phase 1 only)</w:t>
            </w:r>
          </w:p>
        </w:tc>
        <w:tc>
          <w:tcPr>
            <w:tcW w:type="dxa" w:w="4680"/>
            <w:tcMar>
              <w:top w:type="dxa" w:w="60"/>
              <w:left w:type="dxa" w:w="100"/>
              <w:bottom w:type="dxa" w:w="60"/>
              <w:right w:type="dxa" w:w="100"/>
            </w:tcMar>
          </w:tcPr>
          <w:p>
            <w:r>
              <w:rPr>
                <w:b w:val="false"/>
                <w:bCs w:val="false"/>
                <w:sz w:val="18"/>
                <w:szCs w:val="18"/>
              </w:rPr>
              <w:t xml:space="preserve">Production tooling design and qualification</w:t>
            </w:r>
          </w:p>
        </w:tc>
      </w:tr>
      <w:tr>
        <w:tc>
          <w:tcPr>
            <w:tcW w:type="dxa" w:w="4680"/>
            <w:shd w:fill="FAFBFC" w:val="clear"/>
            <w:tcMar>
              <w:top w:type="dxa" w:w="60"/>
              <w:left w:type="dxa" w:w="100"/>
              <w:bottom w:type="dxa" w:w="60"/>
              <w:right w:type="dxa" w:w="100"/>
            </w:tcMar>
          </w:tcPr>
          <w:p>
            <w:r>
              <w:rPr>
                <w:b w:val="false"/>
                <w:bCs w:val="false"/>
                <w:sz w:val="18"/>
                <w:szCs w:val="18"/>
              </w:rPr>
              <w:t xml:space="preserve">MRB Chair (Phase 2 only)</w:t>
            </w:r>
          </w:p>
        </w:tc>
        <w:tc>
          <w:tcPr>
            <w:tcW w:type="dxa" w:w="4680"/>
            <w:shd w:fill="FAFBFC" w:val="clear"/>
            <w:tcMar>
              <w:top w:type="dxa" w:w="60"/>
              <w:left w:type="dxa" w:w="100"/>
              <w:bottom w:type="dxa" w:w="60"/>
              <w:right w:type="dxa" w:w="100"/>
            </w:tcMar>
          </w:tcPr>
          <w:p>
            <w:r>
              <w:rPr>
                <w:b w:val="false"/>
                <w:bCs w:val="false"/>
                <w:sz w:val="18"/>
                <w:szCs w:val="18"/>
              </w:rPr>
              <w:t xml:space="preserve">Nonconformance disposition, chairs the Material Review Board</w:t>
            </w:r>
          </w:p>
        </w:tc>
      </w:tr>
      <w:tr>
        <w:tc>
          <w:tcPr>
            <w:tcW w:type="dxa" w:w="4680"/>
            <w:tcMar>
              <w:top w:type="dxa" w:w="60"/>
              <w:left w:type="dxa" w:w="100"/>
              <w:bottom w:type="dxa" w:w="60"/>
              <w:right w:type="dxa" w:w="100"/>
            </w:tcMar>
          </w:tcPr>
          <w:p>
            <w:r>
              <w:rPr>
                <w:b w:val="false"/>
                <w:bCs w:val="false"/>
                <w:sz w:val="18"/>
                <w:szCs w:val="18"/>
              </w:rPr>
              <w:t xml:space="preserve">Supplier Quality Engineer</w:t>
            </w:r>
          </w:p>
        </w:tc>
        <w:tc>
          <w:tcPr>
            <w:tcW w:type="dxa" w:w="4680"/>
            <w:tcMar>
              <w:top w:type="dxa" w:w="60"/>
              <w:left w:type="dxa" w:w="100"/>
              <w:bottom w:type="dxa" w:w="60"/>
              <w:right w:type="dxa" w:w="100"/>
            </w:tcMar>
          </w:tcPr>
          <w:p>
            <w:r>
              <w:rPr>
                <w:b w:val="false"/>
                <w:bCs w:val="false"/>
                <w:sz w:val="18"/>
                <w:szCs w:val="18"/>
              </w:rPr>
              <w:t xml:space="preserve">PPAP, incoming material/lot traceability</w:t>
            </w:r>
          </w:p>
        </w:tc>
      </w:tr>
      <w:tr>
        <w:tc>
          <w:tcPr>
            <w:tcW w:type="dxa" w:w="4680"/>
            <w:shd w:fill="FAFBFC" w:val="clear"/>
            <w:tcMar>
              <w:top w:type="dxa" w:w="60"/>
              <w:left w:type="dxa" w:w="100"/>
              <w:bottom w:type="dxa" w:w="60"/>
              <w:right w:type="dxa" w:w="100"/>
            </w:tcMar>
          </w:tcPr>
          <w:p>
            <w:r>
              <w:rPr>
                <w:b w:val="false"/>
                <w:bCs w:val="false"/>
                <w:sz w:val="18"/>
                <w:szCs w:val="18"/>
              </w:rPr>
              <w:t xml:space="preserve">Program Coordinator</w:t>
            </w:r>
          </w:p>
        </w:tc>
        <w:tc>
          <w:tcPr>
            <w:tcW w:type="dxa" w:w="4680"/>
            <w:shd w:fill="FAFBFC" w:val="clear"/>
            <w:tcMar>
              <w:top w:type="dxa" w:w="60"/>
              <w:left w:type="dxa" w:w="100"/>
              <w:bottom w:type="dxa" w:w="60"/>
              <w:right w:type="dxa" w:w="100"/>
            </w:tcMar>
          </w:tcPr>
          <w:p>
            <w:r>
              <w:rPr>
                <w:b w:val="false"/>
                <w:bCs w:val="false"/>
                <w:sz w:val="18"/>
                <w:szCs w:val="18"/>
              </w:rPr>
              <w:t xml:space="preserve">RAIDD log, status reporting, administrative support</w:t>
            </w:r>
          </w:p>
        </w:tc>
      </w:tr>
      <w:tr>
        <w:tc>
          <w:tcPr>
            <w:tcW w:type="dxa" w:w="4680"/>
            <w:tcMar>
              <w:top w:type="dxa" w:w="60"/>
              <w:left w:type="dxa" w:w="100"/>
              <w:bottom w:type="dxa" w:w="60"/>
              <w:right w:type="dxa" w:w="100"/>
            </w:tcMar>
          </w:tcPr>
          <w:p>
            <w:r>
              <w:rPr>
                <w:b w:val="false"/>
                <w:bCs w:val="false"/>
                <w:sz w:val="18"/>
                <w:szCs w:val="18"/>
              </w:rPr>
              <w:t xml:space="preserve">Manufacturing Technician (Composite Layup)</w:t>
            </w:r>
          </w:p>
        </w:tc>
        <w:tc>
          <w:tcPr>
            <w:tcW w:type="dxa" w:w="4680"/>
            <w:tcMar>
              <w:top w:type="dxa" w:w="60"/>
              <w:left w:type="dxa" w:w="100"/>
              <w:bottom w:type="dxa" w:w="60"/>
              <w:right w:type="dxa" w:w="100"/>
            </w:tcMar>
          </w:tcPr>
          <w:p>
            <w:r>
              <w:rPr>
                <w:b w:val="false"/>
                <w:bCs w:val="false"/>
                <w:sz w:val="18"/>
                <w:szCs w:val="18"/>
              </w:rPr>
              <w:t xml:space="preserve">Hands-on production of composite panels; 3 technicians by full Phase 2 rate</w:t>
            </w:r>
          </w:p>
        </w:tc>
      </w:tr>
      <w:tr>
        <w:tc>
          <w:tcPr>
            <w:tcW w:type="dxa" w:w="4680"/>
            <w:shd w:fill="FAFBFC" w:val="clear"/>
            <w:tcMar>
              <w:top w:type="dxa" w:w="60"/>
              <w:left w:type="dxa" w:w="100"/>
              <w:bottom w:type="dxa" w:w="60"/>
              <w:right w:type="dxa" w:w="100"/>
            </w:tcMar>
          </w:tcPr>
          <w:p>
            <w:r>
              <w:rPr>
                <w:b w:val="false"/>
                <w:bCs w:val="false"/>
                <w:sz w:val="18"/>
                <w:szCs w:val="18"/>
              </w:rPr>
              <w:t xml:space="preserve">Quality Inspector</w:t>
            </w:r>
          </w:p>
        </w:tc>
        <w:tc>
          <w:tcPr>
            <w:tcW w:type="dxa" w:w="4680"/>
            <w:shd w:fill="FAFBFC" w:val="clear"/>
            <w:tcMar>
              <w:top w:type="dxa" w:w="60"/>
              <w:left w:type="dxa" w:w="100"/>
              <w:bottom w:type="dxa" w:w="60"/>
              <w:right w:type="dxa" w:w="100"/>
            </w:tcMar>
          </w:tcPr>
          <w:p>
            <w:r>
              <w:rPr>
                <w:b w:val="false"/>
                <w:bCs w:val="false"/>
                <w:sz w:val="18"/>
                <w:szCs w:val="18"/>
              </w:rPr>
              <w:t xml:space="preserve">Hands-on incoming and in-process inspection, supporting the Quality Engineering Lead; 2 inspectors by full Phase 2 rate</w:t>
            </w:r>
          </w:p>
        </w:tc>
      </w:tr>
      <w:tr>
        <w:tc>
          <w:tcPr>
            <w:tcW w:type="dxa" w:w="4680"/>
            <w:tcMar>
              <w:top w:type="dxa" w:w="60"/>
              <w:left w:type="dxa" w:w="100"/>
              <w:bottom w:type="dxa" w:w="60"/>
              <w:right w:type="dxa" w:w="100"/>
            </w:tcMar>
          </w:tcPr>
          <w:p>
            <w:r>
              <w:rPr>
                <w:b w:val="false"/>
                <w:bCs w:val="false"/>
                <w:sz w:val="18"/>
                <w:szCs w:val="18"/>
              </w:rPr>
              <w:t xml:space="preserve">Buyer / Procurement Specialist</w:t>
            </w:r>
          </w:p>
        </w:tc>
        <w:tc>
          <w:tcPr>
            <w:tcW w:type="dxa" w:w="4680"/>
            <w:tcMar>
              <w:top w:type="dxa" w:w="60"/>
              <w:left w:type="dxa" w:w="100"/>
              <w:bottom w:type="dxa" w:w="60"/>
              <w:right w:type="dxa" w:w="100"/>
            </w:tcMar>
          </w:tcPr>
          <w:p>
            <w:r>
              <w:rPr>
                <w:b w:val="false"/>
                <w:bCs w:val="false"/>
                <w:sz w:val="18"/>
                <w:szCs w:val="18"/>
              </w:rPr>
              <w:t xml:space="preserve">Purchase order execution and supplier scheduling, supporting Supplier Quality on the raw-material supply chain</w:t>
            </w:r>
          </w:p>
        </w:tc>
      </w:tr>
    </w:tbl>
    <w:p>
      <w:pPr>
        <w:spacing w:after="160"/>
      </w:pPr>
    </w:p>
    <w:p>
      <w:pPr>
        <w:pStyle w:val="Heading2"/>
        <w:spacing w:after="120" w:before="260"/>
      </w:pPr>
      <w:r>
        <w:t xml:space="preserve">Questions people ask about this</w:t>
      </w:r>
    </w:p>
    <w:p>
      <w:pPr>
        <w:spacing w:after="160"/>
      </w:pPr>
      <w:r>
        <w:rPr>
          <w:b w:val="false"/>
          <w:bCs w:val="false"/>
          <w:i w:val="false"/>
          <w:iCs w:val="false"/>
          <w:sz w:val="21"/>
          <w:szCs w:val="21"/>
        </w:rPr>
        <w:t xml:space="preserve">Why does the Tooling Engineer roll
off after Phase 1? Once tooling passes FAI and is released for production, there's no ongoing
tooling-design work — only maintenance, which the standing production organization handles. Keeping
a dedicated Tooling Engineer on the program budget past that point would be paying for capacity the
program no longer needs.</w:t>
      </w:r>
    </w:p>
    <w:p>
      <w:pPr>
        <w:spacing w:after="160"/>
      </w:pPr>
      <w:r>
        <w:rPr>
          <w:b w:val="false"/>
          <w:bCs w:val="false"/>
          <w:i w:val="false"/>
          <w:iCs w:val="false"/>
          <w:sz w:val="21"/>
          <w:szCs w:val="21"/>
        </w:rPr>
        <w:t xml:space="preserve">Why does the MRB Chair only join in
Phase 2? Phase 1's single nonconformance (the FAI edge-trim finding) was dispositioned with the
Quality Engineering Lead chairing an ad hoc board — there wasn't yet enough volume to justify a
dedicated chair. Production ramp changes that: a steady stream of nonconformances at rate needs a
dedicated owner, not an ad hoc one.</w:t>
      </w:r>
    </w:p>
    <w:p>
      <w:pPr>
        <w:spacing w:after="160"/>
      </w:pPr>
      <w:r>
        <w:rPr>
          <w:b w:val="false"/>
          <w:bCs w:val="false"/>
          <w:i w:val="false"/>
          <w:iCs w:val="false"/>
          <w:sz w:val="21"/>
          <w:szCs w:val="21"/>
        </w:rPr>
        <w:t xml:space="preserve">What's the difference between
use-as-is and rework? Use-as-is means the part is accepted exactly as it is — an engineering
judgment that the nonconformance doesn't affect fit, form, or function. Rework means the part is
modified (machined, re-drilled, patched) to bring it into conformance, then reinspected. Both require
MRB sign-off; neither is a shortcut around inspection.</w:t>
      </w:r>
    </w:p>
    <w:p>
      <w:pPr>
        <w:spacing w:after="160"/>
      </w:pPr>
      <w:r>
        <w:rPr>
          <w:b w:val="false"/>
          <w:bCs w:val="false"/>
          <w:i w:val="false"/>
          <w:iCs w:val="false"/>
          <w:sz w:val="21"/>
          <w:szCs w:val="21"/>
        </w:rPr>
        <w:t xml:space="preserve">Why is a fixed-price production
contract different from the Federal suite's Task Order? A Federal Task Order is a government
contract governed by the FAR, with its own cost/pricing rules, security requirements (ATO), and
accessibility requirements (Section 508). This is a commercial contract between two private
companies — no FAR, no ATO, no ITAR (it's not a defense article) — so the compliance burden is
entirely AS9100/aerospace-quality-driven rather than federal-acquisition-driven.</w:t>
      </w:r>
    </w:p>
    <w:p>
      <w:pPr>
        <w:spacing w:after="160"/>
      </w:pPr>
      <w:r>
        <w:rPr>
          <w:b w:val="false"/>
          <w:bCs w:val="false"/>
          <w:i w:val="false"/>
          <w:iCs w:val="false"/>
          <w:sz w:val="21"/>
          <w:szCs w:val="21"/>
        </w:rPr>
        <w:t xml:space="preserve">Did the program actually come in
under budget, or is that just good luck? The $150,000 program management reserve went entirely
undrawn — but two risks that were explicitly planned for (the NDT capacity risk and the tooling
schedule risk) did materialize. The reserve wasn't undrawn because nothing went wrong; it was
undrawn because the mitigations built into the base plan (the schedule buffer, the dual-NDT-source
fallback) were sized correctly for the risks that were already identified going in.</w:t>
      </w:r>
    </w:p>
    <w:p>
      <w:pPr>
        <w:spacing w:after="160"/>
      </w:pPr>
      <w:r>
        <w:rPr>
          <w:b w:val="false"/>
          <w:bCs w:val="false"/>
          <w:i w:val="false"/>
          <w:iCs w:val="false"/>
          <w:sz w:val="21"/>
          <w:szCs w:val="21"/>
        </w:rPr>
        <w:t xml:space="preserve">What happens to the roles at
closeout? They transfer to Acme Aerostructures's standing production quality organization rather than
disappearing — the Quality Engineering Lead stays available through the transition window, and the
MRB Chair's responsibilities move to the standing production Quality Review Board, since steady-state
production continues indefinitely after this program's formal closeout.</w:t>
      </w:r>
    </w:p>
    <w:p>
      <w:pPr>
        <w:pStyle w:val="Heading2"/>
        <w:spacing w:after="120" w:before="260"/>
      </w:pPr>
      <w:r>
        <w:t xml:space="preserve">How this compares to the other suites in this portfolio</w:t>
      </w:r>
    </w:p>
    <w:p>
      <w:pPr>
        <w:spacing w:after="160"/>
      </w:pPr>
      <w:r>
        <w:rPr>
          <w:b w:val="false"/>
          <w:bCs w:val="false"/>
          <w:i w:val="false"/>
          <w:iCs w:val="false"/>
          <w:sz w:val="21"/>
          <w:szCs w:val="21"/>
        </w:rPr>
        <w:t xml:space="preserve">If you've looked at the PM, Agile, or
Federal suites in this portfolio, the shape of this one should already feel familiar: a charter,
governance, a resource plan reconciled to a budget, a RAIDD log, status reporting, and a closeout
tied back to lessons learned. What's new here is a physical-manufacturing quality system instead of
a software-delivery or federal-compliance one — First Article Inspection instead of a go-live
cutover or an ATO, and a Material Review Board instead of a change-control log or a defect backlog.
The underlying PM discipline is portable across all four domains; the domain-specific compliance
layer is what makes each suite worth building separately instead of just relabeling one template
four times.</w:t>
      </w:r>
    </w:p>
    <w:p>
      <w:pPr>
        <w:pStyle w:val="Heading2"/>
        <w:spacing w:after="120" w:before="260"/>
      </w:pPr>
      <w:r>
        <w:t xml:space="preserve">Risk management approach</w:t>
      </w:r>
    </w:p>
    <w:p>
      <w:pPr>
        <w:spacing w:after="160"/>
      </w:pPr>
      <w:r>
        <w:rPr>
          <w:b w:val="false"/>
          <w:bCs w:val="false"/>
          <w:i w:val="false"/>
          <w:iCs w:val="false"/>
          <w:sz w:val="21"/>
          <w:szCs w:val="21"/>
        </w:rPr>
        <w:t xml:space="preserve">Risk on this program is tracked in a
single RAIDD log (Risks, Assumptions, Issues, Decisions, Dependencies) rather than a separate risk
register and issue log — a deliberate choice to keep one traceable thread from an identified risk
through to whatever it turns into. Four risks were identified at program kickoff: a single-source
composite prepreg material with no fallback, NDT capacity that hadn't been validated against
production-rate throughput, a tooling qualification schedule with limited slack, and uncertainty
around the customer's source-inspection availability for the FAI gate. Two of the four (the material
lead-time risk and the customer-availability risk) never materialized into an issue during the
program; the other two both did, and both are traceable, line by line, from the original risk entry
through the issue that resulted, the decision that resolved it, and the lesson that closed the loop.
That traceability is the point — a risk log that only tracks risks that didn't happen isn't proving
anything about how well the mitigations worked.</w:t>
      </w:r>
    </w:p>
    <w:p>
      <w:pPr>
        <w:spacing w:after="160"/>
      </w:pPr>
      <w:r>
        <w:rPr>
          <w:b w:val="false"/>
          <w:bCs w:val="false"/>
          <w:i w:val="false"/>
          <w:iCs w:val="false"/>
          <w:sz w:val="21"/>
          <w:szCs w:val="21"/>
        </w:rPr>
        <w:t xml:space="preserve">Assumptions get the same discipline.
Two were logged at kickoff: that Meridian Aircraft Co.'s engineering source data was final and baselined at
contract start, and that Acme Aerostructures's existing autoclave capacity was sufficient for the planned
Phase 2 production rate without new capital investment. Both held for the life of the program — no
engineering change requests came in from the customer, and no additional autoclave capacity was
needed — but they were written down as assumptions rather than treated as certainties, precisely
because an unstated assumption is the risk you don't find out you were carrying until it breaks.</w:t>
      </w:r>
    </w:p>
    <w:p>
      <w:pPr>
        <w:pStyle w:val="Heading2"/>
        <w:spacing w:after="120" w:before="260"/>
      </w:pPr>
      <w:r>
        <w:t xml:space="preserve">Program timeline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shd w:fill="12213B" w:val="clear"/>
            <w:tcMar>
              <w:top w:type="dxa" w:w="60"/>
              <w:left w:type="dxa" w:w="100"/>
              <w:bottom w:type="dxa" w:w="60"/>
              <w:right w:type="dxa" w:w="100"/>
            </w:tcMar>
          </w:tcPr>
          <w:p>
            <w:r>
              <w:rPr>
                <w:b/>
                <w:bCs/>
                <w:color w:val="FFFFFF"/>
                <w:sz w:val="18"/>
                <w:szCs w:val="18"/>
              </w:rPr>
              <w:t xml:space="preserve">Milestone</w:t>
            </w:r>
          </w:p>
        </w:tc>
        <w:tc>
          <w:tcPr>
            <w:tcW w:type="dxa" w:w="4680"/>
            <w:shd w:fill="12213B" w:val="clear"/>
            <w:tcMar>
              <w:top w:type="dxa" w:w="60"/>
              <w:left w:type="dxa" w:w="100"/>
              <w:bottom w:type="dxa" w:w="60"/>
              <w:right w:type="dxa" w:w="100"/>
            </w:tcMar>
          </w:tcPr>
          <w:p>
            <w:r>
              <w:rPr>
                <w:b/>
                <w:bCs/>
                <w:color w:val="FFFFFF"/>
                <w:sz w:val="18"/>
                <w:szCs w:val="18"/>
              </w:rPr>
              <w:t xml:space="preserve">Timing</w:t>
            </w:r>
          </w:p>
        </w:tc>
      </w:tr>
      <w:tr>
        <w:tc>
          <w:tcPr>
            <w:tcW w:type="dxa" w:w="4680"/>
            <w:tcMar>
              <w:top w:type="dxa" w:w="60"/>
              <w:left w:type="dxa" w:w="100"/>
              <w:bottom w:type="dxa" w:w="60"/>
              <w:right w:type="dxa" w:w="100"/>
            </w:tcMar>
          </w:tcPr>
          <w:p>
            <w:r>
              <w:rPr>
                <w:b w:val="false"/>
                <w:bCs w:val="false"/>
                <w:sz w:val="18"/>
                <w:szCs w:val="18"/>
              </w:rPr>
              <w:t xml:space="preserve">Program kickoff, charter approved</w:t>
            </w:r>
          </w:p>
        </w:tc>
        <w:tc>
          <w:tcPr>
            <w:tcW w:type="dxa" w:w="4680"/>
            <w:tcMar>
              <w:top w:type="dxa" w:w="60"/>
              <w:left w:type="dxa" w:w="100"/>
              <w:bottom w:type="dxa" w:w="60"/>
              <w:right w:type="dxa" w:w="100"/>
            </w:tcMar>
          </w:tcPr>
          <w:p>
            <w:r>
              <w:rPr>
                <w:b w:val="false"/>
                <w:bCs w:val="false"/>
                <w:sz w:val="18"/>
                <w:szCs w:val="18"/>
              </w:rPr>
              <w:t xml:space="preserve">Month 0</w:t>
            </w:r>
          </w:p>
        </w:tc>
      </w:tr>
      <w:tr>
        <w:tc>
          <w:tcPr>
            <w:tcW w:type="dxa" w:w="4680"/>
            <w:shd w:fill="FAFBFC" w:val="clear"/>
            <w:tcMar>
              <w:top w:type="dxa" w:w="60"/>
              <w:left w:type="dxa" w:w="100"/>
              <w:bottom w:type="dxa" w:w="60"/>
              <w:right w:type="dxa" w:w="100"/>
            </w:tcMar>
          </w:tcPr>
          <w:p>
            <w:r>
              <w:rPr>
                <w:b w:val="false"/>
                <w:bCs w:val="false"/>
                <w:sz w:val="18"/>
                <w:szCs w:val="18"/>
              </w:rPr>
              <w:t xml:space="preserve">Tooling design complete</w:t>
            </w:r>
          </w:p>
        </w:tc>
        <w:tc>
          <w:tcPr>
            <w:tcW w:type="dxa" w:w="4680"/>
            <w:shd w:fill="FAFBFC" w:val="clear"/>
            <w:tcMar>
              <w:top w:type="dxa" w:w="60"/>
              <w:left w:type="dxa" w:w="100"/>
              <w:bottom w:type="dxa" w:w="60"/>
              <w:right w:type="dxa" w:w="100"/>
            </w:tcMar>
          </w:tcPr>
          <w:p>
            <w:r>
              <w:rPr>
                <w:b w:val="false"/>
                <w:bCs w:val="false"/>
                <w:sz w:val="18"/>
                <w:szCs w:val="18"/>
              </w:rPr>
              <w:t xml:space="preserve">Month 2</w:t>
            </w:r>
          </w:p>
        </w:tc>
      </w:tr>
      <w:tr>
        <w:tc>
          <w:tcPr>
            <w:tcW w:type="dxa" w:w="4680"/>
            <w:tcMar>
              <w:top w:type="dxa" w:w="60"/>
              <w:left w:type="dxa" w:w="100"/>
              <w:bottom w:type="dxa" w:w="60"/>
              <w:right w:type="dxa" w:w="100"/>
            </w:tcMar>
          </w:tcPr>
          <w:p>
            <w:r>
              <w:rPr>
                <w:b w:val="false"/>
                <w:bCs w:val="false"/>
                <w:sz w:val="18"/>
                <w:szCs w:val="18"/>
              </w:rPr>
              <w:t xml:space="preserve">Tooling qualification / initial production run (S/N 0001)</w:t>
            </w:r>
          </w:p>
        </w:tc>
        <w:tc>
          <w:tcPr>
            <w:tcW w:type="dxa" w:w="4680"/>
            <w:tcMar>
              <w:top w:type="dxa" w:w="60"/>
              <w:left w:type="dxa" w:w="100"/>
              <w:bottom w:type="dxa" w:w="60"/>
              <w:right w:type="dxa" w:w="100"/>
            </w:tcMar>
          </w:tcPr>
          <w:p>
            <w:r>
              <w:rPr>
                <w:b w:val="false"/>
                <w:bCs w:val="false"/>
                <w:sz w:val="18"/>
                <w:szCs w:val="18"/>
              </w:rPr>
              <w:t xml:space="preserve">Month 4</w:t>
            </w:r>
          </w:p>
        </w:tc>
      </w:tr>
      <w:tr>
        <w:tc>
          <w:tcPr>
            <w:tcW w:type="dxa" w:w="4680"/>
            <w:shd w:fill="FAFBFC" w:val="clear"/>
            <w:tcMar>
              <w:top w:type="dxa" w:w="60"/>
              <w:left w:type="dxa" w:w="100"/>
              <w:bottom w:type="dxa" w:w="60"/>
              <w:right w:type="dxa" w:w="100"/>
            </w:tcMar>
          </w:tcPr>
          <w:p>
            <w:r>
              <w:rPr>
                <w:b w:val="false"/>
                <w:bCs w:val="false"/>
                <w:sz w:val="18"/>
                <w:szCs w:val="18"/>
              </w:rPr>
              <w:t xml:space="preserve">First Article Inspection — initial result (nonconformance, MRB-001)</w:t>
            </w:r>
          </w:p>
        </w:tc>
        <w:tc>
          <w:tcPr>
            <w:tcW w:type="dxa" w:w="4680"/>
            <w:shd w:fill="FAFBFC" w:val="clear"/>
            <w:tcMar>
              <w:top w:type="dxa" w:w="60"/>
              <w:left w:type="dxa" w:w="100"/>
              <w:bottom w:type="dxa" w:w="60"/>
              <w:right w:type="dxa" w:w="100"/>
            </w:tcMar>
          </w:tcPr>
          <w:p>
            <w:r>
              <w:rPr>
                <w:b w:val="false"/>
                <w:bCs w:val="false"/>
                <w:sz w:val="18"/>
                <w:szCs w:val="18"/>
              </w:rPr>
              <w:t xml:space="preserve">Month 5</w:t>
            </w:r>
          </w:p>
        </w:tc>
      </w:tr>
      <w:tr>
        <w:tc>
          <w:tcPr>
            <w:tcW w:type="dxa" w:w="4680"/>
            <w:tcMar>
              <w:top w:type="dxa" w:w="60"/>
              <w:left w:type="dxa" w:w="100"/>
              <w:bottom w:type="dxa" w:w="60"/>
              <w:right w:type="dxa" w:w="100"/>
            </w:tcMar>
          </w:tcPr>
          <w:p>
            <w:r>
              <w:rPr>
                <w:b w:val="false"/>
                <w:bCs w:val="false"/>
                <w:sz w:val="18"/>
                <w:szCs w:val="18"/>
              </w:rPr>
              <w:t xml:space="preserve">First Article Inspection — rework accepted, customer source inspection witness</w:t>
            </w:r>
          </w:p>
        </w:tc>
        <w:tc>
          <w:tcPr>
            <w:tcW w:type="dxa" w:w="4680"/>
            <w:tcMar>
              <w:top w:type="dxa" w:w="60"/>
              <w:left w:type="dxa" w:w="100"/>
              <w:bottom w:type="dxa" w:w="60"/>
              <w:right w:type="dxa" w:w="100"/>
            </w:tcMar>
          </w:tcPr>
          <w:p>
            <w:r>
              <w:rPr>
                <w:b w:val="false"/>
                <w:bCs w:val="false"/>
                <w:sz w:val="18"/>
                <w:szCs w:val="18"/>
              </w:rPr>
              <w:t xml:space="preserve">Month 6 (3-week buffer consumed)</w:t>
            </w:r>
          </w:p>
        </w:tc>
      </w:tr>
      <w:tr>
        <w:tc>
          <w:tcPr>
            <w:tcW w:type="dxa" w:w="4680"/>
            <w:shd w:fill="FAFBFC" w:val="clear"/>
            <w:tcMar>
              <w:top w:type="dxa" w:w="60"/>
              <w:left w:type="dxa" w:w="100"/>
              <w:bottom w:type="dxa" w:w="60"/>
              <w:right w:type="dxa" w:w="100"/>
            </w:tcMar>
          </w:tcPr>
          <w:p>
            <w:r>
              <w:rPr>
                <w:b w:val="false"/>
                <w:bCs w:val="false"/>
                <w:sz w:val="18"/>
                <w:szCs w:val="18"/>
              </w:rPr>
              <w:t xml:space="preserve">Phase 2 production release</w:t>
            </w:r>
          </w:p>
        </w:tc>
        <w:tc>
          <w:tcPr>
            <w:tcW w:type="dxa" w:w="4680"/>
            <w:shd w:fill="FAFBFC" w:val="clear"/>
            <w:tcMar>
              <w:top w:type="dxa" w:w="60"/>
              <w:left w:type="dxa" w:w="100"/>
              <w:bottom w:type="dxa" w:w="60"/>
              <w:right w:type="dxa" w:w="100"/>
            </w:tcMar>
          </w:tcPr>
          <w:p>
            <w:r>
              <w:rPr>
                <w:b w:val="false"/>
                <w:bCs w:val="false"/>
                <w:sz w:val="18"/>
                <w:szCs w:val="18"/>
              </w:rPr>
              <w:t xml:space="preserve">Month 6</w:t>
            </w:r>
          </w:p>
        </w:tc>
      </w:tr>
      <w:tr>
        <w:tc>
          <w:tcPr>
            <w:tcW w:type="dxa" w:w="4680"/>
            <w:tcMar>
              <w:top w:type="dxa" w:w="60"/>
              <w:left w:type="dxa" w:w="100"/>
              <w:bottom w:type="dxa" w:w="60"/>
              <w:right w:type="dxa" w:w="100"/>
            </w:tcMar>
          </w:tcPr>
          <w:p>
            <w:r>
              <w:rPr>
                <w:b w:val="false"/>
                <w:bCs w:val="false"/>
                <w:sz w:val="18"/>
                <w:szCs w:val="18"/>
              </w:rPr>
              <w:t xml:space="preserve">NDT queue backlog identified and mitigated (second technician onboarded)</w:t>
            </w:r>
          </w:p>
        </w:tc>
        <w:tc>
          <w:tcPr>
            <w:tcW w:type="dxa" w:w="4680"/>
            <w:tcMar>
              <w:top w:type="dxa" w:w="60"/>
              <w:left w:type="dxa" w:w="100"/>
              <w:bottom w:type="dxa" w:w="60"/>
              <w:right w:type="dxa" w:w="100"/>
            </w:tcMar>
          </w:tcPr>
          <w:p>
            <w:r>
              <w:rPr>
                <w:b w:val="false"/>
                <w:bCs w:val="false"/>
                <w:sz w:val="18"/>
                <w:szCs w:val="18"/>
              </w:rPr>
              <w:t xml:space="preserve">Months 7-8</w:t>
            </w:r>
          </w:p>
        </w:tc>
      </w:tr>
      <w:tr>
        <w:tc>
          <w:tcPr>
            <w:tcW w:type="dxa" w:w="4680"/>
            <w:shd w:fill="FAFBFC" w:val="clear"/>
            <w:tcMar>
              <w:top w:type="dxa" w:w="60"/>
              <w:left w:type="dxa" w:w="100"/>
              <w:bottom w:type="dxa" w:w="60"/>
              <w:right w:type="dxa" w:w="100"/>
            </w:tcMar>
          </w:tcPr>
          <w:p>
            <w:r>
              <w:rPr>
                <w:b w:val="false"/>
                <w:bCs w:val="false"/>
                <w:sz w:val="18"/>
                <w:szCs w:val="18"/>
              </w:rPr>
              <w:t xml:space="preserve">MRB-002 through MRB-005 dispositioned</w:t>
            </w:r>
          </w:p>
        </w:tc>
        <w:tc>
          <w:tcPr>
            <w:tcW w:type="dxa" w:w="4680"/>
            <w:shd w:fill="FAFBFC" w:val="clear"/>
            <w:tcMar>
              <w:top w:type="dxa" w:w="60"/>
              <w:left w:type="dxa" w:w="100"/>
              <w:bottom w:type="dxa" w:w="60"/>
              <w:right w:type="dxa" w:w="100"/>
            </w:tcMar>
          </w:tcPr>
          <w:p>
            <w:r>
              <w:rPr>
                <w:b w:val="false"/>
                <w:bCs w:val="false"/>
                <w:sz w:val="18"/>
                <w:szCs w:val="18"/>
              </w:rPr>
              <w:t xml:space="preserve">Months 8-16</w:t>
            </w:r>
          </w:p>
        </w:tc>
      </w:tr>
      <w:tr>
        <w:tc>
          <w:tcPr>
            <w:tcW w:type="dxa" w:w="4680"/>
            <w:tcMar>
              <w:top w:type="dxa" w:w="60"/>
              <w:left w:type="dxa" w:w="100"/>
              <w:bottom w:type="dxa" w:w="60"/>
              <w:right w:type="dxa" w:w="100"/>
            </w:tcMar>
          </w:tcPr>
          <w:p>
            <w:r>
              <w:rPr>
                <w:b w:val="false"/>
                <w:bCs w:val="false"/>
                <w:sz w:val="18"/>
                <w:szCs w:val="18"/>
              </w:rPr>
              <w:t xml:space="preserve">Preventive-maintenance schedule established for layup fixture (post MRB-004)</w:t>
            </w:r>
          </w:p>
        </w:tc>
        <w:tc>
          <w:tcPr>
            <w:tcW w:type="dxa" w:w="4680"/>
            <w:tcMar>
              <w:top w:type="dxa" w:w="60"/>
              <w:left w:type="dxa" w:w="100"/>
              <w:bottom w:type="dxa" w:w="60"/>
              <w:right w:type="dxa" w:w="100"/>
            </w:tcMar>
          </w:tcPr>
          <w:p>
            <w:r>
              <w:rPr>
                <w:b w:val="false"/>
                <w:bCs w:val="false"/>
                <w:sz w:val="18"/>
                <w:szCs w:val="18"/>
              </w:rPr>
              <w:t xml:space="preserve">Month 15</w:t>
            </w:r>
          </w:p>
        </w:tc>
      </w:tr>
      <w:tr>
        <w:tc>
          <w:tcPr>
            <w:tcW w:type="dxa" w:w="4680"/>
            <w:shd w:fill="FAFBFC" w:val="clear"/>
            <w:tcMar>
              <w:top w:type="dxa" w:w="60"/>
              <w:left w:type="dxa" w:w="100"/>
              <w:bottom w:type="dxa" w:w="60"/>
              <w:right w:type="dxa" w:w="100"/>
            </w:tcMar>
          </w:tcPr>
          <w:p>
            <w:r>
              <w:rPr>
                <w:b w:val="false"/>
                <w:bCs w:val="false"/>
                <w:sz w:val="18"/>
                <w:szCs w:val="18"/>
              </w:rPr>
              <w:t xml:space="preserve">Program closeout, reserve returned undrawn</w:t>
            </w:r>
          </w:p>
        </w:tc>
        <w:tc>
          <w:tcPr>
            <w:tcW w:type="dxa" w:w="4680"/>
            <w:shd w:fill="FAFBFC" w:val="clear"/>
            <w:tcMar>
              <w:top w:type="dxa" w:w="60"/>
              <w:left w:type="dxa" w:w="100"/>
              <w:bottom w:type="dxa" w:w="60"/>
              <w:right w:type="dxa" w:w="100"/>
            </w:tcMar>
          </w:tcPr>
          <w:p>
            <w:r>
              <w:rPr>
                <w:b w:val="false"/>
                <w:bCs w:val="false"/>
                <w:sz w:val="18"/>
                <w:szCs w:val="18"/>
              </w:rPr>
              <w:t xml:space="preserve">Month 18</w:t>
            </w:r>
          </w:p>
        </w:tc>
      </w:tr>
    </w:tbl>
    <w:p>
      <w:pPr>
        <w:spacing w:after="160"/>
      </w:pPr>
    </w:p>
    <w:p>
      <w:pPr>
        <w:spacing w:after="160"/>
      </w:pPr>
      <w:r>
        <w:rPr>
          <w:b w:val="false"/>
          <w:bCs w:val="false"/>
          <w:i w:val="false"/>
          <w:iCs w:val="false"/>
          <w:sz w:val="21"/>
          <w:szCs w:val="21"/>
        </w:rPr>
        <w:t xml:space="preserve">Laid out this way, the program's two
real disruptions — the FAI rework and the NDT backlog — both land early in their respective phases,
which is exactly where a mature quality system wants problems to surface: while there's still enough
schedule and budget cushion left to absorb them, rather than compressed against a delivery deadline
with production already running at full rate.</w:t>
      </w:r>
    </w:p>
    <w:p>
      <w:pPr>
        <w:pStyle w:val="Heading2"/>
        <w:spacing w:after="120" w:before="260"/>
      </w:pPr>
      <w:r>
        <w:t xml:space="preserve">What "quality" costs, and what it buys</w:t>
      </w:r>
    </w:p>
    <w:p>
      <w:pPr>
        <w:spacing w:after="160"/>
      </w:pPr>
      <w:r>
        <w:rPr>
          <w:b w:val="false"/>
          <w:bCs w:val="false"/>
          <w:i w:val="false"/>
          <w:iCs w:val="false"/>
          <w:sz w:val="21"/>
          <w:szCs w:val="21"/>
        </w:rPr>
        <w:t xml:space="preserve">It's easy to treat AS9100, FAI, and
MRB as compliance overhead — paperwork layered on top of the "real" engineering and manufacturing
work. The numbers on this program argue the other way. The direct quality investment — tooling and
fixtures NRE, the FAI lab/metrology/NDT testing budget, and the dedicated quality-engineering labor
across both phases — comes to roughly $320,000 against a $3,500,000 total program budget, a little
over 12% of program cost. The Program CBA page frames what that buys against a single avoided
failure mode: a nonconformance that makes it past FAI and into a delivered part, discovered only
after the aircraft is in the field. An Aircraft-on-Ground event, the root-cause investigation, the
supplier corrective-action cycle, and any rework or return that follows are conservatively estimated
at several times the entire quality investment for this program — which is the argument for why the
investment is proportionate to the risk it's managing, not proof that any specific failure was
avoided. The program's actual MRB history — five real nonconformances, four different dispositions,
zero that made it to the customer undetected — is the more concrete evidence that the system did the
job it was built to do.</w:t>
      </w:r>
    </w:p>
    <w:p>
      <w:pPr>
        <w:pStyle w:val="Heading2"/>
        <w:spacing w:after="120" w:before="260"/>
      </w:pPr>
      <w:r>
        <w:t xml:space="preserve">Further questions people ask</w:t>
      </w:r>
    </w:p>
    <w:p>
      <w:pPr>
        <w:spacing w:after="160"/>
      </w:pPr>
      <w:r>
        <w:rPr>
          <w:b w:val="false"/>
          <w:bCs w:val="false"/>
          <w:i w:val="false"/>
          <w:iCs w:val="false"/>
          <w:sz w:val="21"/>
          <w:szCs w:val="21"/>
        </w:rPr>
        <w:t xml:space="preserve">Could this program have skipped
FAI and gone straight to production, to save the six months? No — not and still hold AS9100
certification or sell to Meridian Aircraft Co.. FAI isn't a project-management best practice that a program
can choose to skip under schedule pressure; it's a contractual and certification requirement. The
six months in Phase 1 is the cost of proving the tooling and process work before committing to a
production rate, not a buffer that a more aggressive PM could negotiate away.</w:t>
      </w:r>
    </w:p>
    <w:p>
      <w:pPr>
        <w:spacing w:after="160"/>
      </w:pPr>
      <w:r>
        <w:rPr>
          <w:b w:val="false"/>
          <w:bCs w:val="false"/>
          <w:i w:val="false"/>
          <w:iCs w:val="false"/>
          <w:sz w:val="21"/>
          <w:szCs w:val="21"/>
        </w:rPr>
        <w:t xml:space="preserve">Why track cosmetic nonconformances
(like MRB-002's surface porosity) through the same formal MRB process as a structural one? Because the disposition — not the severity — is what determines the process. A cosmetic
nonconformance still needs an engineering judgment call and a documented record of who made it and
why, even though the outcome (use-as-is, in this case) is less consequential than a structural
rework or scrap decision. Treating minor findings informally is exactly the kind of shortcut that
erodes traceability over time.</w:t>
      </w:r>
    </w:p>
    <w:p>
      <w:pPr>
        <w:spacing w:after="160"/>
      </w:pPr>
      <w:r>
        <w:rPr>
          <w:b w:val="false"/>
          <w:bCs w:val="false"/>
          <w:i w:val="false"/>
          <w:iCs w:val="false"/>
          <w:sz w:val="21"/>
          <w:szCs w:val="21"/>
        </w:rPr>
        <w:t xml:space="preserve">Is a Tier 1 supplier's program team
this small in practice? Roles here represent dedicated program-level ownership; each role also
draws on Acme Aerostructures's broader corporate functions — the AS9100-certified quality management system,
corporate supply-chain management, and standing production operations — that aren't billed to this
individual program's budget. The program team is deliberately lean because it leans on infrastructure
that already exists at the company level.</w:t>
      </w:r>
    </w:p>
    <w:p>
      <w:pPr>
        <w:pStyle w:val="Heading2"/>
        <w:spacing w:after="120" w:before="260"/>
      </w:pPr>
      <w:r>
        <w:t xml:space="preserve">Reading this suite alongside the others</w:t>
      </w:r>
    </w:p>
    <w:p>
      <w:pPr>
        <w:spacing w:after="160"/>
      </w:pPr>
      <w:r>
        <w:rPr>
          <w:b w:val="false"/>
          <w:bCs w:val="false"/>
          <w:i w:val="false"/>
          <w:iCs w:val="false"/>
          <w:sz w:val="21"/>
          <w:szCs w:val="21"/>
        </w:rPr>
        <w:t xml:space="preserve">Anyone comparing this suite to the PM,
Agile, or Federal suites in the same portfolio will notice the underlying documents track closely —
same charter structure, same RAIDD approach, same resource-plan-to-budget reconciliation discipline,
same closeout format tying back to lessons learned. That's intentional: it's the same PM skeleton
demonstrated four times, once per domain, so the domain-specific compliance layer — AS9100/FAI/MRB
here, ATO/Section 508 in Federal, sprint cadence in Agile — is what's actually being tested each
time, not whether a new template can be invented from scratch.</w:t>
      </w:r>
    </w:p>
    <w:p>
      <w:pPr>
        <w:pStyle w:val="Heading2"/>
        <w:spacing w:after="120" w:before="260"/>
      </w:pPr>
      <w:r>
        <w:t xml:space="preserve">Supplier quality (PPAP), explained</w:t>
      </w:r>
    </w:p>
    <w:p>
      <w:pPr>
        <w:spacing w:after="160"/>
      </w:pPr>
      <w:r>
        <w:rPr>
          <w:b w:val="false"/>
          <w:bCs w:val="false"/>
          <w:i w:val="false"/>
          <w:iCs w:val="false"/>
          <w:sz w:val="21"/>
          <w:szCs w:val="21"/>
        </w:rPr>
        <w:t xml:space="preserve">The Production Part Approval Process
was originally an automotive standard, but it's widely borrowed across aerospace supply chains
because it answers a question AS9100 doesn't fully address on its own: not "does the part conform,"
but "can this specific supplier reliably keep producing conforming parts, lot after lot." On this
program, PPAP sits underneath the composite prepreg and fastener-hardware supply chain, owned by the
Supplier Quality Engineer. A supplier passes PPAP by submitting evidence — material certifications,
process capability data, sample inspection results — that ties a specific production process to a
specific expected output, not just a one-time sample that happened to measure in tolerance. The one
real PPAP-adjacent finding on this program, a raw-material lot with a missing batch traceability
code, was caught at incoming inspection and returned to the supplier before it ever reached
production — a control that exists specifically because AS9100's traceability requirement doesn't
stop at the supplier's front gate; it has to reach back into the raw material itself.</w:t>
      </w:r>
    </w:p>
    <w:p>
      <w:pPr>
        <w:pStyle w:val="Heading2"/>
        <w:spacing w:after="120" w:before="260"/>
      </w:pPr>
      <w:r>
        <w:t xml:space="preserve">Certification and audit cadence</w:t>
      </w:r>
    </w:p>
    <w:p>
      <w:pPr>
        <w:spacing w:after="160"/>
      </w:pPr>
      <w:r>
        <w:rPr>
          <w:b w:val="false"/>
          <w:bCs w:val="false"/>
          <w:i w:val="false"/>
          <w:iCs w:val="false"/>
          <w:sz w:val="21"/>
          <w:szCs w:val="21"/>
        </w:rPr>
        <w:t xml:space="preserve">AS9100 certification isn't something
a program earns; it's something the company holds, audited on a recurring cycle (typically a
three-year certification cycle with annual surveillance audits) by an accredited third-party
registrar. What a program like this one does is generate the evidence — First Article records, MRB
dispositions, supplier PPAP files, lessons learned — that an internal or external auditor would
sample against during that surveillance audit. None of this suite's artifacts are themselves the
certification; they're the operating record a certified company is expected to be able to produce
on request. That distinction matters for anyone reading this suite as a stand-in for "how does a
company get AS9100 certified" — it doesn't answer that question, because certification is a
corporate quality-system audit, not a program deliverable. What this suite shows is what a single
program's slice of that operating record looks like day to day.</w:t>
      </w:r>
    </w:p>
    <w:p>
      <w:pPr>
        <w:pStyle w:val="Heading2"/>
        <w:spacing w:after="120" w:before="260"/>
      </w:pPr>
      <w:r>
        <w:t xml:space="preserve">Where this suite's numbers come from</w:t>
      </w:r>
    </w:p>
    <w:p>
      <w:pPr>
        <w:spacing w:after="160"/>
      </w:pPr>
      <w:r>
        <w:rPr>
          <w:b w:val="false"/>
          <w:bCs w:val="false"/>
          <w:i w:val="false"/>
          <w:iCs w:val="false"/>
          <w:sz w:val="21"/>
          <w:szCs w:val="21"/>
        </w:rPr>
        <w:t xml:space="preserve">Every dollar figure on this page is
drawn directly from the Program Budget and Program Resource Plan pages in this suite, not invented
separately for narrative purposes — the $755,000 Phase 1 labor total and $1,955,000 Phase 2 labor
total sum to the $2,710,000 labor line in the budget, which combines with $640,000 of non-labor and
an undrawn $150,000 reserve to the program's $3,500,000 total. The MRB case count (five), the
Lessons Learned entry count (ten), and the CBA's return-on-investment figure are pulled the same
way, from the MRB log, Lessons Learned register, and Program CBA pages respectively — so a reader
who wants to verify any number here can trace it back to its source artifact rather than taking this
guide's word for it.</w:t>
      </w:r>
    </w:p>
    <w:sectPr>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2026-07-15T15:51:22.629Z</dcterms:created>
  <dcterms:modified xsi:type="dcterms:W3CDTF">2026-07-15T15:51:22.629Z</dcterms:modified>
</cp:coreProperties>
</file>

<file path=docProps/custom.xml><?xml version="1.0" encoding="utf-8"?>
<Properties xmlns="http://schemas.openxmlformats.org/officeDocument/2006/custom-properties" xmlns:vt="http://schemas.openxmlformats.org/officeDocument/2006/docPropsVTypes"/>
</file>