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pPr>
      <w:r>
        <w:t xml:space="preserve">Program Charter</w:t>
      </w:r>
    </w:p>
    <w:p>
      <w:pPr>
        <w:spacing w:after="160"/>
      </w:pPr>
      <w:r>
        <w:rPr>
          <w:b w:val="false"/>
          <w:bCs w:val="false"/>
          <w:i w:val="false"/>
          <w:iCs w:val="false"/>
          <w:sz w:val="22"/>
          <w:szCs w:val="22"/>
        </w:rPr>
        <w:t xml:space="preserve">Program charter authorizing Acme Aerostructures to execute the CWP-700 Composite Wing Panel Production Program for
Meridian Aircraft Co., establishing scope, sponsorship, and success criteria for the production of composite
trailing-edge wing panels for the Meridian M7 narrowbody.</w:t>
      </w:r>
    </w:p>
    <w:p>
      <w:pPr>
        <w:pStyle w:val="Heading2"/>
        <w:spacing w:after="120" w:before="260"/>
      </w:pPr>
      <w:r>
        <w:t xml:space="preserve">Program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12213B" w:val="clear"/>
            <w:tcMar>
              <w:top w:type="dxa" w:w="60"/>
              <w:left w:type="dxa" w:w="100"/>
              <w:bottom w:type="dxa" w:w="60"/>
              <w:right w:type="dxa" w:w="100"/>
            </w:tcMar>
          </w:tcPr>
          <w:p>
            <w:r>
              <w:rPr>
                <w:b/>
                <w:bCs/>
                <w:color w:val="FFFFFF"/>
                <w:sz w:val="18"/>
                <w:szCs w:val="18"/>
              </w:rPr>
              <w:t xml:space="preserve">Program Name</w:t>
            </w:r>
          </w:p>
        </w:tc>
        <w:tc>
          <w:tcPr>
            <w:tcW w:type="dxa" w:w="4680"/>
            <w:shd w:fill="12213B" w:val="clear"/>
            <w:tcMar>
              <w:top w:type="dxa" w:w="60"/>
              <w:left w:type="dxa" w:w="100"/>
              <w:bottom w:type="dxa" w:w="60"/>
              <w:right w:type="dxa" w:w="100"/>
            </w:tcMar>
          </w:tcPr>
          <w:p>
            <w:r>
              <w:rPr>
                <w:b/>
                <w:bCs/>
                <w:color w:val="FFFFFF"/>
                <w:sz w:val="18"/>
                <w:szCs w:val="18"/>
              </w:rPr>
              <w:t xml:space="preserve">CWP-700 Composite Wing Panel Production Program</w:t>
            </w:r>
          </w:p>
        </w:tc>
      </w:tr>
      <w:tr>
        <w:tc>
          <w:tcPr>
            <w:tcW w:type="dxa" w:w="4680"/>
            <w:tcMar>
              <w:top w:type="dxa" w:w="60"/>
              <w:left w:type="dxa" w:w="100"/>
              <w:bottom w:type="dxa" w:w="60"/>
              <w:right w:type="dxa" w:w="100"/>
            </w:tcMar>
          </w:tcPr>
          <w:p>
            <w:r>
              <w:rPr>
                <w:b w:val="false"/>
                <w:bCs w:val="false"/>
                <w:sz w:val="18"/>
                <w:szCs w:val="18"/>
              </w:rPr>
              <w:t xml:space="preserve">Customer</w:t>
            </w:r>
          </w:p>
        </w:tc>
        <w:tc>
          <w:tcPr>
            <w:tcW w:type="dxa" w:w="4680"/>
            <w:tcMar>
              <w:top w:type="dxa" w:w="60"/>
              <w:left w:type="dxa" w:w="100"/>
              <w:bottom w:type="dxa" w:w="60"/>
              <w:right w:type="dxa" w:w="100"/>
            </w:tcMar>
          </w:tcPr>
          <w:p>
            <w:r>
              <w:rPr>
                <w:b w:val="false"/>
                <w:bCs w:val="false"/>
                <w:sz w:val="18"/>
                <w:szCs w:val="18"/>
              </w:rPr>
              <w:t xml:space="preserve">Meridian Aircraft Co.</w:t>
            </w:r>
          </w:p>
        </w:tc>
      </w:tr>
      <w:tr>
        <w:tc>
          <w:tcPr>
            <w:tcW w:type="dxa" w:w="4680"/>
            <w:shd w:fill="FAFBFC" w:val="clear"/>
            <w:tcMar>
              <w:top w:type="dxa" w:w="60"/>
              <w:left w:type="dxa" w:w="100"/>
              <w:bottom w:type="dxa" w:w="60"/>
              <w:right w:type="dxa" w:w="100"/>
            </w:tcMar>
          </w:tcPr>
          <w:p>
            <w:r>
              <w:rPr>
                <w:b w:val="false"/>
                <w:bCs w:val="false"/>
                <w:sz w:val="18"/>
                <w:szCs w:val="18"/>
              </w:rPr>
              <w:t xml:space="preserve">Supplier of Record</w:t>
            </w:r>
          </w:p>
        </w:tc>
        <w:tc>
          <w:tcPr>
            <w:tcW w:type="dxa" w:w="4680"/>
            <w:shd w:fill="FAFBFC" w:val="clear"/>
            <w:tcMar>
              <w:top w:type="dxa" w:w="60"/>
              <w:left w:type="dxa" w:w="100"/>
              <w:bottom w:type="dxa" w:w="60"/>
              <w:right w:type="dxa" w:w="100"/>
            </w:tcMar>
          </w:tcPr>
          <w:p>
            <w:r>
              <w:rPr>
                <w:b w:val="false"/>
                <w:bCs w:val="false"/>
                <w:sz w:val="18"/>
                <w:szCs w:val="18"/>
              </w:rPr>
              <w:t xml:space="preserve">Acme Aerostructures (Tier 1)</w:t>
            </w:r>
          </w:p>
        </w:tc>
      </w:tr>
      <w:tr>
        <w:tc>
          <w:tcPr>
            <w:tcW w:type="dxa" w:w="4680"/>
            <w:tcMar>
              <w:top w:type="dxa" w:w="60"/>
              <w:left w:type="dxa" w:w="100"/>
              <w:bottom w:type="dxa" w:w="60"/>
              <w:right w:type="dxa" w:w="100"/>
            </w:tcMar>
          </w:tcPr>
          <w:p>
            <w:r>
              <w:rPr>
                <w:b w:val="false"/>
                <w:bCs w:val="false"/>
                <w:sz w:val="18"/>
                <w:szCs w:val="18"/>
              </w:rPr>
              <w:t xml:space="preserve">Contract Type</w:t>
            </w:r>
          </w:p>
        </w:tc>
        <w:tc>
          <w:tcPr>
            <w:tcW w:type="dxa" w:w="4680"/>
            <w:tcMar>
              <w:top w:type="dxa" w:w="60"/>
              <w:left w:type="dxa" w:w="100"/>
              <w:bottom w:type="dxa" w:w="60"/>
              <w:right w:type="dxa" w:w="100"/>
            </w:tcMar>
          </w:tcPr>
          <w:p>
            <w:r>
              <w:rPr>
                <w:b w:val="false"/>
                <w:bCs w:val="false"/>
                <w:sz w:val="18"/>
                <w:szCs w:val="18"/>
              </w:rPr>
              <w:t xml:space="preserve">Fixed-Price Production Contract (commercial, non-FAR)</w:t>
            </w:r>
          </w:p>
        </w:tc>
      </w:tr>
      <w:tr>
        <w:tc>
          <w:tcPr>
            <w:tcW w:type="dxa" w:w="4680"/>
            <w:shd w:fill="FAFBFC" w:val="clear"/>
            <w:tcMar>
              <w:top w:type="dxa" w:w="60"/>
              <w:left w:type="dxa" w:w="100"/>
              <w:bottom w:type="dxa" w:w="60"/>
              <w:right w:type="dxa" w:w="100"/>
            </w:tcMar>
          </w:tcPr>
          <w:p>
            <w:r>
              <w:rPr>
                <w:b w:val="false"/>
                <w:bCs w:val="false"/>
                <w:sz w:val="18"/>
                <w:szCs w:val="18"/>
              </w:rPr>
              <w:t xml:space="preserve">Duration</w:t>
            </w:r>
          </w:p>
        </w:tc>
        <w:tc>
          <w:tcPr>
            <w:tcW w:type="dxa" w:w="4680"/>
            <w:shd w:fill="FAFBFC" w:val="clear"/>
            <w:tcMar>
              <w:top w:type="dxa" w:w="60"/>
              <w:left w:type="dxa" w:w="100"/>
              <w:bottom w:type="dxa" w:w="60"/>
              <w:right w:type="dxa" w:w="100"/>
            </w:tcMar>
          </w:tcPr>
          <w:p>
            <w:r>
              <w:rPr>
                <w:b w:val="false"/>
                <w:bCs w:val="false"/>
                <w:sz w:val="18"/>
                <w:szCs w:val="18"/>
              </w:rPr>
              <w:t xml:space="preserve">18 months: Phase 1 (6 mo. Qualification &amp; First Article) + Phase 2 (12 mo. Production Ramp &amp; Steady-State)</w:t>
            </w:r>
          </w:p>
        </w:tc>
      </w:tr>
      <w:tr>
        <w:tc>
          <w:tcPr>
            <w:tcW w:type="dxa" w:w="4680"/>
            <w:tcMar>
              <w:top w:type="dxa" w:w="60"/>
              <w:left w:type="dxa" w:w="100"/>
              <w:bottom w:type="dxa" w:w="60"/>
              <w:right w:type="dxa" w:w="100"/>
            </w:tcMar>
          </w:tcPr>
          <w:p>
            <w:r>
              <w:rPr>
                <w:b w:val="false"/>
                <w:bCs w:val="false"/>
                <w:sz w:val="18"/>
                <w:szCs w:val="18"/>
              </w:rPr>
              <w:t xml:space="preserve">Program Manager</w:t>
            </w:r>
          </w:p>
        </w:tc>
        <w:tc>
          <w:tcPr>
            <w:tcW w:type="dxa" w:w="4680"/>
            <w:tcMar>
              <w:top w:type="dxa" w:w="60"/>
              <w:left w:type="dxa" w:w="100"/>
              <w:bottom w:type="dxa" w:w="60"/>
              <w:right w:type="dxa" w:w="100"/>
            </w:tcMar>
          </w:tcPr>
          <w:p>
            <w:r>
              <w:rPr>
                <w:b w:val="false"/>
                <w:bCs w:val="false"/>
                <w:sz w:val="18"/>
                <w:szCs w:val="18"/>
              </w:rPr>
              <w:t xml:space="preserve">C. Tyrrell</w:t>
            </w:r>
          </w:p>
        </w:tc>
      </w:tr>
      <w:tr>
        <w:tc>
          <w:tcPr>
            <w:tcW w:type="dxa" w:w="4680"/>
            <w:shd w:fill="FAFBFC" w:val="clear"/>
            <w:tcMar>
              <w:top w:type="dxa" w:w="60"/>
              <w:left w:type="dxa" w:w="100"/>
              <w:bottom w:type="dxa" w:w="60"/>
              <w:right w:type="dxa" w:w="100"/>
            </w:tcMar>
          </w:tcPr>
          <w:p>
            <w:r>
              <w:rPr>
                <w:b w:val="false"/>
                <w:bCs w:val="false"/>
                <w:sz w:val="18"/>
                <w:szCs w:val="18"/>
              </w:rPr>
              <w:t xml:space="preserve">Total Program Budget</w:t>
            </w:r>
          </w:p>
        </w:tc>
        <w:tc>
          <w:tcPr>
            <w:tcW w:type="dxa" w:w="4680"/>
            <w:shd w:fill="FAFBFC" w:val="clear"/>
            <w:tcMar>
              <w:top w:type="dxa" w:w="60"/>
              <w:left w:type="dxa" w:w="100"/>
              <w:bottom w:type="dxa" w:w="60"/>
              <w:right w:type="dxa" w:w="100"/>
            </w:tcMar>
          </w:tcPr>
          <w:p>
            <w:r>
              <w:rPr>
                <w:b w:val="false"/>
                <w:bCs w:val="false"/>
                <w:sz w:val="18"/>
                <w:szCs w:val="18"/>
              </w:rPr>
              <w:t xml:space="preserve">$3,500,000</w:t>
            </w:r>
          </w:p>
        </w:tc>
      </w:tr>
      <w:tr>
        <w:tc>
          <w:tcPr>
            <w:tcW w:type="dxa" w:w="4680"/>
            <w:tcMar>
              <w:top w:type="dxa" w:w="60"/>
              <w:left w:type="dxa" w:w="100"/>
              <w:bottom w:type="dxa" w:w="60"/>
              <w:right w:type="dxa" w:w="100"/>
            </w:tcMar>
          </w:tcPr>
          <w:p>
            <w:r>
              <w:rPr>
                <w:b w:val="false"/>
                <w:bCs w:val="false"/>
                <w:sz w:val="18"/>
                <w:szCs w:val="18"/>
              </w:rPr>
              <w:t xml:space="preserve">Delivery Team Size</w:t>
            </w:r>
          </w:p>
        </w:tc>
        <w:tc>
          <w:tcPr>
            <w:tcW w:type="dxa" w:w="4680"/>
            <w:tcMar>
              <w:top w:type="dxa" w:w="60"/>
              <w:left w:type="dxa" w:w="100"/>
              <w:bottom w:type="dxa" w:w="60"/>
              <w:right w:type="dxa" w:w="100"/>
            </w:tcMar>
          </w:tcPr>
          <w:p>
            <w:r>
              <w:rPr>
                <w:b w:val="false"/>
                <w:bCs w:val="false"/>
                <w:sz w:val="18"/>
                <w:szCs w:val="18"/>
              </w:rPr>
              <w:t xml:space="preserve">14 (see Resource Plan)</w:t>
            </w:r>
          </w:p>
        </w:tc>
      </w:tr>
      <w:tr>
        <w:tc>
          <w:tcPr>
            <w:tcW w:type="dxa" w:w="4680"/>
            <w:shd w:fill="FAFBFC" w:val="clear"/>
            <w:tcMar>
              <w:top w:type="dxa" w:w="60"/>
              <w:left w:type="dxa" w:w="100"/>
              <w:bottom w:type="dxa" w:w="60"/>
              <w:right w:type="dxa" w:w="100"/>
            </w:tcMar>
          </w:tcPr>
          <w:p>
            <w:r>
              <w:rPr>
                <w:b w:val="false"/>
                <w:bCs w:val="false"/>
                <w:sz w:val="18"/>
                <w:szCs w:val="18"/>
              </w:rPr>
              <w:t xml:space="preserve">Quality Certification</w:t>
            </w:r>
          </w:p>
        </w:tc>
        <w:tc>
          <w:tcPr>
            <w:tcW w:type="dxa" w:w="4680"/>
            <w:shd w:fill="FAFBFC" w:val="clear"/>
            <w:tcMar>
              <w:top w:type="dxa" w:w="60"/>
              <w:left w:type="dxa" w:w="100"/>
              <w:bottom w:type="dxa" w:w="60"/>
              <w:right w:type="dxa" w:w="100"/>
            </w:tcMar>
          </w:tcPr>
          <w:p>
            <w:r>
              <w:rPr>
                <w:b w:val="false"/>
                <w:bCs w:val="false"/>
                <w:sz w:val="18"/>
                <w:szCs w:val="18"/>
              </w:rPr>
              <w:t xml:space="preserve">AS9100 (Acme Aerostructures, corporate QMS)</w:t>
            </w:r>
          </w:p>
        </w:tc>
      </w:tr>
    </w:tbl>
    <w:p>
      <w:pPr>
        <w:spacing w:after="160"/>
      </w:pPr>
    </w:p>
    <w:p>
      <w:pPr>
        <w:pStyle w:val="Heading2"/>
        <w:spacing w:after="120" w:before="260"/>
      </w:pPr>
      <w:r>
        <w:t xml:space="preserve">Background &amp; Business Case</w:t>
      </w:r>
    </w:p>
    <w:p>
      <w:pPr>
        <w:spacing w:after="160"/>
      </w:pPr>
      <w:r>
        <w:rPr>
          <w:b w:val="false"/>
          <w:bCs w:val="false"/>
          <w:i w:val="false"/>
          <w:iCs w:val="false"/>
          <w:sz w:val="21"/>
          <w:szCs w:val="21"/>
        </w:rPr>
        <w:t xml:space="preserve">Meridian Aircraft Co. sources trailing-edge composite
wing panels for its M7 narrowbody program from a small pool of qualified Tier 1 suppliers. Acme Aerostructures
was awarded this production contract following a competitive source-selection process that evaluated AS9100
certification standing, First Article Inspection track record, and production capacity. This program represents
Acme's first dedicated production contract for the M7 platform specifically, following prior qualification work
on Meridian's legacy aircraft programs — a track record Meridian's sourcing team weighted heavily, since a Tier 1
composite supplier's quality history is a leading indicator of First Article outcomes on a new part number.</w:t>
      </w:r>
    </w:p>
    <w:p>
      <w:pPr>
        <w:pStyle w:val="Heading2"/>
        <w:spacing w:after="120" w:before="260"/>
      </w:pPr>
      <w:r>
        <w:t xml:space="preserve">Scope</w:t>
      </w:r>
    </w:p>
    <w:p>
      <w:pPr>
        <w:spacing w:after="160"/>
      </w:pPr>
      <w:r>
        <w:rPr>
          <w:b w:val="false"/>
          <w:bCs w:val="false"/>
          <w:i w:val="false"/>
          <w:iCs w:val="false"/>
          <w:sz w:val="21"/>
          <w:szCs w:val="21"/>
        </w:rPr>
        <w:t xml:space="preserve">In scope: design-to-print
manufacture of composite trailing-edge wing panels per Meridian-supplied engineering data; tooling
design, fabrication, and qualification; First Article Inspection per AS9102; steady-state production
at contracted rate; ongoing Material Review Board support for production nonconformances; supplier
quality management for raw material and hardware sources; part marking and lot-level traceability from
raw material receipt through delivery.</w:t>
      </w:r>
    </w:p>
    <w:p>
      <w:pPr>
        <w:spacing w:after="160"/>
      </w:pPr>
      <w:r>
        <w:rPr>
          <w:b w:val="false"/>
          <w:bCs w:val="false"/>
          <w:i w:val="false"/>
          <w:iCs w:val="false"/>
          <w:sz w:val="21"/>
          <w:szCs w:val="21"/>
        </w:rPr>
        <w:t xml:space="preserve">Out of scope: engineering design
of the wing panel itself (Meridian-owned, Acme Aerostructures is build-to-print only); final aircraft
assembly and flight test; any ITAR-controlled defense-article work (this is a commercial program); tooling
design for any part number beyond the CWP-700 panel family; and any change to Meridian's engineering
source data, which can only be authorized by Meridian's own engineering change process.</w:t>
      </w:r>
    </w:p>
    <w:p>
      <w:pPr>
        <w:pStyle w:val="Heading2"/>
        <w:spacing w:after="120" w:before="260"/>
      </w:pPr>
      <w:r>
        <w:t xml:space="preserve">Contract Structure &amp; Funding</w:t>
      </w:r>
    </w:p>
    <w:p>
      <w:pPr>
        <w:spacing w:after="160"/>
      </w:pPr>
      <w:r>
        <w:rPr>
          <w:b w:val="false"/>
          <w:bCs w:val="false"/>
          <w:i w:val="false"/>
          <w:iCs w:val="false"/>
          <w:sz w:val="21"/>
          <w:szCs w:val="21"/>
        </w:rPr>
        <w:t xml:space="preserve">This is a fixed-price production contract, not a
cost-reimbursement arrangement — Acme Aerostructures is paid the contracted unit price per accepted panel, and
bears the internal cost risk of production inefficiency, scrap, or rework internally rather than passing it back
to Meridian. The $3,500,000 total program budget shown above is Acme's internal delivery-team cost baseline (see
the Resource Plan and Program Budget ), not the unit-price contract value
Meridian pays per panel — the two are related but distinct, the same way a Firm-Fixed-Price federal Task Order's
internal delivery cost differs from its awarded contract value.</w:t>
      </w:r>
    </w:p>
    <w:p>
      <w:pPr>
        <w:pStyle w:val="Heading2"/>
        <w:spacing w:after="120" w:before="260"/>
      </w:pPr>
      <w:r>
        <w:t xml:space="preserve">Success Criteria</w:t>
      </w:r>
    </w:p>
    <w:p>
      <w:pPr>
        <w:pStyle w:val="ListParagraph"/>
        <w:numPr>
          <w:ilvl w:val="0"/>
          <w:numId w:val="2"/>
        </w:numPr>
        <w:spacing w:after="100"/>
      </w:pPr>
      <w:r>
        <w:rPr>
          <w:sz w:val="21"/>
          <w:szCs w:val="21"/>
        </w:rPr>
        <w:t xml:space="preserve">First Article Inspection accepted by Meridian source inspection within the Phase 1 schedule.</w:t>
      </w:r>
    </w:p>
    <w:p>
      <w:pPr>
        <w:pStyle w:val="ListParagraph"/>
        <w:numPr>
          <w:ilvl w:val="0"/>
          <w:numId w:val="2"/>
        </w:numPr>
        <w:spacing w:after="100"/>
      </w:pPr>
      <w:r>
        <w:rPr>
          <w:sz w:val="21"/>
          <w:szCs w:val="21"/>
        </w:rPr>
        <w:t xml:space="preserve">Phase 2 production ramps to full contracted rate with on-time delivery performance.</w:t>
      </w:r>
    </w:p>
    <w:p>
      <w:pPr>
        <w:pStyle w:val="ListParagraph"/>
        <w:numPr>
          <w:ilvl w:val="0"/>
          <w:numId w:val="2"/>
        </w:numPr>
        <w:spacing w:after="100"/>
      </w:pPr>
      <w:r>
        <w:rPr>
          <w:sz w:val="21"/>
          <w:szCs w:val="21"/>
        </w:rPr>
        <w:t xml:space="preserve">Zero repeat nonconformances of the same root cause across the production run.</w:t>
      </w:r>
    </w:p>
    <w:p>
      <w:pPr>
        <w:pStyle w:val="ListParagraph"/>
        <w:numPr>
          <w:ilvl w:val="0"/>
          <w:numId w:val="2"/>
        </w:numPr>
        <w:spacing w:after="100"/>
      </w:pPr>
      <w:r>
        <w:rPr>
          <w:sz w:val="21"/>
          <w:szCs w:val="21"/>
        </w:rPr>
        <w:t xml:space="preserve">Program closes within the $3,500,000 total budget, reconciled to $0 variance.</w:t>
      </w:r>
    </w:p>
    <w:p>
      <w:pPr>
        <w:pStyle w:val="ListParagraph"/>
        <w:numPr>
          <w:ilvl w:val="0"/>
          <w:numId w:val="2"/>
        </w:numPr>
        <w:spacing w:after="100"/>
      </w:pPr>
      <w:r>
        <w:rPr>
          <w:sz w:val="21"/>
          <w:szCs w:val="21"/>
        </w:rPr>
        <w:t xml:space="preserve">All Material Review Board dispositions closed with documented root cause and corrective action.</w:t>
      </w:r>
    </w:p>
    <w:p>
      <w:pPr>
        <w:pStyle w:val="ListParagraph"/>
        <w:numPr>
          <w:ilvl w:val="0"/>
          <w:numId w:val="2"/>
        </w:numPr>
        <w:spacing w:after="100"/>
      </w:pPr>
      <w:r>
        <w:rPr>
          <w:sz w:val="21"/>
          <w:szCs w:val="21"/>
        </w:rPr>
        <w:t xml:space="preserve">Zero nonconformances reach Meridian undetected — every escape caught internally before delivery.</w:t>
      </w:r>
    </w:p>
    <w:p>
      <w:pPr>
        <w:pStyle w:val="Heading2"/>
        <w:spacing w:after="120" w:before="260"/>
      </w:pPr>
      <w:r>
        <w:t xml:space="preserve">Stakeholders</w:t>
      </w:r>
    </w:p>
    <w:p>
      <w:pPr>
        <w:pStyle w:val="Heading2"/>
        <w:spacing w:after="120" w:before="260"/>
      </w:pPr>
      <w:r>
        <w:t xml:space="preserve">Key Risks at Program Start</w:t>
      </w:r>
    </w:p>
    <w:p>
      <w:pPr>
        <w:spacing w:after="160"/>
      </w:pPr>
      <w:r>
        <w:rPr>
          <w:b w:val="false"/>
          <w:bCs w:val="false"/>
          <w:i w:val="false"/>
          <w:iCs w:val="false"/>
          <w:sz w:val="21"/>
          <w:szCs w:val="21"/>
        </w:rPr>
        <w:t xml:space="preserve">The four risks identified at kickoff — single-source
composite material lead time, NDT capacity sized for the wrong production phase, a tight tooling-qualification
schedule, and customer source-inspection scheduling — are tracked in full in the RAIDD Log . Two materialized during the program; see the Lessons Learned Register for what was learned from
each.</w:t>
      </w:r>
    </w:p>
    <w:p>
      <w:pPr>
        <w:pStyle w:val="Heading2"/>
        <w:spacing w:after="120" w:before="260"/>
      </w:pPr>
      <w:r>
        <w:t xml:space="preserve">Governance</w:t>
      </w:r>
    </w:p>
    <w:p>
      <w:pPr>
        <w:spacing w:after="160"/>
      </w:pPr>
      <w:r>
        <w:rPr>
          <w:b w:val="false"/>
          <w:bCs w:val="false"/>
          <w:i w:val="false"/>
          <w:iCs w:val="false"/>
          <w:sz w:val="21"/>
          <w:szCs w:val="21"/>
        </w:rPr>
        <w:t xml:space="preserve">See the Program Governance page for the
full RACI, review cadence, and escalation path, and the AS9100 QMS page for how this program's
quality artifacts trace to the certification Acme Aerostructures holds as a condition of doing business
with Meridian Aircraft Co.</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2026-07-15T15:51:22.713Z</dcterms:created>
  <dcterms:modified xsi:type="dcterms:W3CDTF">2026-07-15T15:51:22.713Z</dcterms:modified>
</cp:coreProperties>
</file>

<file path=docProps/custom.xml><?xml version="1.0" encoding="utf-8"?>
<Properties xmlns="http://schemas.openxmlformats.org/officeDocument/2006/custom-properties" xmlns:vt="http://schemas.openxmlformats.org/officeDocument/2006/docPropsVTypes"/>
</file>