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Program Management Plan</w:t>
      </w:r>
    </w:p>
    <w:p>
      <w:r>
        <w:rPr>
          <w:b/>
        </w:rPr>
        <w:t>CWP-700 Composite Wing Panel Production Program — Acme Aerostructures</w:t>
      </w:r>
    </w:p>
    <w:p>
      <w:pPr>
        <w:pStyle w:val="Heading2"/>
      </w:pPr>
      <w:r>
        <w:t>1. Introduction &amp; Purpose</w:t>
      </w:r>
    </w:p>
    <w:p>
      <w:r>
        <w:t>This Program Management Plan describes how the CWP-700 program will be executed, monitored, and controlled. It is the integrating document across every specialized artifact in this suite — the Program Charter, Program Budget, Resource Plan, RAIDD Log, and Program Governance Model each cover one discipline in depth; this plan ties them together.</w:t>
      </w:r>
    </w:p>
    <w:p>
      <w:pPr>
        <w:pStyle w:val="Heading2"/>
      </w:pPr>
      <w:r>
        <w:t>2. Program Overview</w:t>
      </w:r>
    </w:p>
    <w:p>
      <w:r>
        <w:t>Acme Aerostructures, a Tier 1 supplier, is delivering composite trailing-edge wing panels to Meridian Aircraft Co. for the Meridian M7 narrowbody under an 18-month fixed-price production contract: Phase 1 (6 months, Qualification &amp; First Article) and Phase 2 (12 months, Production Ramp &amp; Steady-State). See the Program Charter for full scope and business case.</w:t>
      </w:r>
    </w:p>
    <w:p>
      <w:pPr>
        <w:pStyle w:val="Heading2"/>
      </w:pPr>
      <w:r>
        <w:t>3. Program Management Approach</w:t>
      </w:r>
    </w:p>
    <w:p>
      <w:r>
        <w:t>This program follows a stage-gated approach: each phase transition is governed by a formal gate (Critical Design Review, Tooling Qualification, First Article Inspection) rather than a purely iterative cadence, since physical tooling and FAI cannot be revisited cheaply.</w:t>
      </w:r>
    </w:p>
    <w:p>
      <w:pPr>
        <w:pStyle w:val="Heading2"/>
      </w:pPr>
      <w:r>
        <w:t>4. Scope Management</w:t>
      </w:r>
    </w:p>
    <w:p>
      <w:r>
        <w:t>Scope is defined by Meridian's baselined engineering drawings, established at the Critical Design Review gate. Any change to form, fit, or function requires a Meridian-approved Engineering Change Notice (see Section 14).</w:t>
      </w:r>
    </w:p>
    <w:p>
      <w:pPr>
        <w:pStyle w:val="Heading2"/>
      </w:pPr>
      <w:r>
        <w:t>5. Schedule Management</w:t>
      </w:r>
    </w:p>
    <w:p>
      <w:r>
        <w:t>The program schedule is maintained in the Work Breakdown Structure (79 line items across 2 phases). Schedule status is reported weekly internally and monthly to Meridian via the Steering Deck.</w:t>
      </w:r>
    </w:p>
    <w:p>
      <w:pPr>
        <w:pStyle w:val="Heading2"/>
      </w:pPr>
      <w:r>
        <w:t>6. Cost Management</w:t>
      </w:r>
    </w:p>
    <w:p>
      <w:r>
        <w:t>The program's total budget is $5,200,000, corrected from an original $3,500,000 estimate once real two-shift staffing needs became clear (RAIDD Decision D-05). This is a fixed-unit-price contract; internal cost tracking is how Acme manages margin, not a figure reported to the customer line-item by line-item.</w:t>
      </w:r>
    </w:p>
    <w:p>
      <w:pPr>
        <w:pStyle w:val="Heading2"/>
      </w:pPr>
      <w:r>
        <w:t>7. Quality Management</w:t>
      </w:r>
    </w:p>
    <w:p>
      <w:r>
        <w:t>Quality is managed under Acme's corporate AS9100 QMS: First Article Inspection (requiring Meridian source-inspection witness), Material Review Board disposition of nonconformances, supplier PPAP qualification, and the AS9100 QMS documentation and internal audit function.</w:t>
      </w:r>
    </w:p>
    <w:p>
      <w:pPr>
        <w:pStyle w:val="Heading2"/>
      </w:pPr>
      <w:r>
        <w:t>8. Configuration &amp; Traceability Management</w:t>
      </w:r>
    </w:p>
    <w:p>
      <w:r>
        <w:t>Every panel is marked with part number, serial number, and lot-traceable material batch code, maintained from raw material receipt through delivery — the traceability backbone the MRB process depends on.</w:t>
      </w:r>
    </w:p>
    <w:p>
      <w:pPr>
        <w:pStyle w:val="Heading2"/>
      </w:pPr>
      <w:r>
        <w:t>9. Resource Management</w:t>
      </w:r>
    </w:p>
    <w:p>
      <w:r>
        <w:t>The delivery team stands at 25 people across two shifts, corrected from an original 14-person, single-shift estimate (RAIDD Decision D-05) — the original had only 3 layup technicians, one NDT resource, and no dedicated Autoclave/Cure, Trim &amp; Drill, Document Control, or EHS roles.</w:t>
      </w:r>
    </w:p>
    <w:p>
      <w:pPr>
        <w:pStyle w:val="Heading2"/>
      </w:pPr>
      <w:r>
        <w:t>10. Communications Management</w:t>
      </w:r>
    </w:p>
    <w:p>
      <w:r>
        <w:t>Internal and customer-facing communication cadences are defined in the Communications Plan. Standing forums (Program Status Review, Quality Review Board, Joint Program Review with Meridian) are summarized in the Program Governance Model.</w:t>
      </w:r>
    </w:p>
    <w:p>
      <w:pPr>
        <w:pStyle w:val="Heading2"/>
      </w:pPr>
      <w:r>
        <w:t>11. Risk Management</w:t>
      </w:r>
    </w:p>
    <w:p>
      <w:r>
        <w:t>All risks, assumptions, issues, dependencies, and decisions are tracked in a single RAIDD Log, scored 1-9. Escalation authority by risk score is defined in the Program Governance Model.</w:t>
      </w:r>
    </w:p>
    <w:p>
      <w:pPr>
        <w:pStyle w:val="Heading2"/>
      </w:pPr>
      <w:r>
        <w:t>12. Supplier &amp; Procurement Management</w:t>
      </w:r>
    </w:p>
    <w:p>
      <w:r>
        <w:t>Raw-material and tooling suppliers are qualified via PPAP prior to use, with quarterly performance reviews. The single-source composite prepreg material (R-01) is the subject of an approved dual-sourcing initiative (D-03).</w:t>
      </w:r>
    </w:p>
    <w:p>
      <w:pPr>
        <w:pStyle w:val="Heading2"/>
      </w:pPr>
      <w:r>
        <w:t>13. Customer Stakeholder Engagement</w:t>
      </w:r>
    </w:p>
    <w:p>
      <w:r>
        <w:t>Meridian's Program Office holds real, contractual acceptance authority over FAI and major MRB dispositions. Engagement cadence is defined in the Program Governance Model.</w:t>
      </w:r>
    </w:p>
    <w:p>
      <w:pPr>
        <w:pStyle w:val="Heading2"/>
      </w:pPr>
      <w:r>
        <w:t>14. Engineering Change Management</w:t>
      </w:r>
    </w:p>
    <w:p>
      <w:r>
        <w:t>Any change affecting form, fit, or function requires a Meridian-approved Engineering Change Notice (ECN) — a Tier 3 governance decision regardless of cost impact. A dedicated ECN log for this suite is a planned addition.</w:t>
      </w:r>
    </w:p>
    <w:p>
      <w:pPr>
        <w:pStyle w:val="Heading2"/>
      </w:pPr>
      <w:r>
        <w:t>15. Governance &amp; Decision Authority</w:t>
      </w:r>
    </w:p>
    <w:p>
      <w:r>
        <w:t>Full decision-rights tiering, escalation thresholds, and the Program Review Board roster are defined in the Program Governance Model — the authoritative reference this plan defers to.</w:t>
      </w:r>
    </w:p>
    <w:p>
      <w:pPr>
        <w:pStyle w:val="Heading2"/>
      </w:pPr>
      <w:r>
        <w:t>16. Lessons Learned &amp; Continuous Improvement</w:t>
      </w:r>
    </w:p>
    <w:p>
      <w:r>
        <w:t>Lessons from this program — including the NDT staffing miscalibration that drove Decision D-05 — are captured in the Lessons Learned register as they occur, not only at closeout.</w:t>
      </w:r>
    </w:p>
    <w:p>
      <w:pPr>
        <w:pStyle w:val="Heading2"/>
      </w:pPr>
      <w:r>
        <w:t>17. Assumptions, Constraints &amp; Dependencies</w:t>
      </w:r>
    </w:p>
    <w:p>
      <w:r>
        <w:t>Meridian's engineering source data is final and baselined at contract start. Composite autoclave capacity is sufficient for the planned Phase 2 rate. Raw-material suppliers will deliver PPAP submissions on schedule. The corrected 25-person team remains available at planned allocation through Phase 2.</w:t>
      </w:r>
    </w:p>
    <w:p>
      <w:pPr>
        <w:pStyle w:val="Heading2"/>
      </w:pPr>
      <w:r>
        <w:t>18. Baselines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Baseline</w:t>
            </w:r>
          </w:p>
        </w:tc>
        <w:tc>
          <w:tcPr>
            <w:tcW w:type="dxa" w:w="2880"/>
          </w:tcPr>
          <w:p>
            <w:r>
              <w:t>Current Value</w:t>
            </w:r>
          </w:p>
        </w:tc>
        <w:tc>
          <w:tcPr>
            <w:tcW w:type="dxa" w:w="2880"/>
          </w:tcPr>
          <w:p>
            <w:r>
              <w:t>Reference</w:t>
            </w:r>
          </w:p>
        </w:tc>
      </w:tr>
      <w:tr>
        <w:tc>
          <w:tcPr>
            <w:tcW w:type="dxa" w:w="2880"/>
          </w:tcPr>
          <w:p>
            <w:r>
              <w:t>Schedule</w:t>
            </w:r>
          </w:p>
        </w:tc>
        <w:tc>
          <w:tcPr>
            <w:tcW w:type="dxa" w:w="2880"/>
          </w:tcPr>
          <w:p>
            <w:r>
              <w:t>18 months (Phase 1: 6 mo. / Phase 2: 12 mo.)</w:t>
            </w:r>
          </w:p>
        </w:tc>
        <w:tc>
          <w:tcPr>
            <w:tcW w:type="dxa" w:w="2880"/>
          </w:tcPr>
          <w:p>
            <w:r>
              <w:t>WBS</w:t>
            </w:r>
          </w:p>
        </w:tc>
      </w:tr>
      <w:tr>
        <w:tc>
          <w:tcPr>
            <w:tcW w:type="dxa" w:w="2880"/>
          </w:tcPr>
          <w:p>
            <w:r>
              <w:t>Cost</w:t>
            </w:r>
          </w:p>
        </w:tc>
        <w:tc>
          <w:tcPr>
            <w:tcW w:type="dxa" w:w="2880"/>
          </w:tcPr>
          <w:p>
            <w:r>
              <w:t>$5,200,000 (corrected from $3,500,000)</w:t>
            </w:r>
          </w:p>
        </w:tc>
        <w:tc>
          <w:tcPr>
            <w:tcW w:type="dxa" w:w="2880"/>
          </w:tcPr>
          <w:p>
            <w:r>
              <w:t>Program Budget</w:t>
            </w:r>
          </w:p>
        </w:tc>
      </w:tr>
      <w:tr>
        <w:tc>
          <w:tcPr>
            <w:tcW w:type="dxa" w:w="2880"/>
          </w:tcPr>
          <w:p>
            <w:r>
              <w:t>Staffing</w:t>
            </w:r>
          </w:p>
        </w:tc>
        <w:tc>
          <w:tcPr>
            <w:tcW w:type="dxa" w:w="2880"/>
          </w:tcPr>
          <w:p>
            <w:r>
              <w:t>25 people (corrected from 14)</w:t>
            </w:r>
          </w:p>
        </w:tc>
        <w:tc>
          <w:tcPr>
            <w:tcW w:type="dxa" w:w="2880"/>
          </w:tcPr>
          <w:p>
            <w:r>
              <w:t>Resource Plan</w:t>
            </w:r>
          </w:p>
        </w:tc>
      </w:tr>
      <w:tr>
        <w:tc>
          <w:tcPr>
            <w:tcW w:type="dxa" w:w="2880"/>
          </w:tcPr>
          <w:p>
            <w:r>
              <w:t>Quality</w:t>
            </w:r>
          </w:p>
        </w:tc>
        <w:tc>
          <w:tcPr>
            <w:tcW w:type="dxa" w:w="2880"/>
          </w:tcPr>
          <w:p>
            <w:r>
              <w:t>AS9100 QMS, 5 of 5 MRB cases closed to date</w:t>
            </w:r>
          </w:p>
        </w:tc>
        <w:tc>
          <w:tcPr>
            <w:tcW w:type="dxa" w:w="2880"/>
          </w:tcPr>
          <w:p>
            <w:r>
              <w:t>Material Review Board</w:t>
            </w:r>
          </w:p>
        </w:tc>
      </w:tr>
    </w:tbl>
    <w:p>
      <w:pPr>
        <w:pStyle w:val="Heading2"/>
      </w:pPr>
      <w:r>
        <w:t>19. Approval</w:t>
      </w:r>
    </w:p>
    <w:p>
      <w:r>
        <w:t>This Program Management Plan is approved for use across the CWP-700 program.</w:t>
      </w:r>
    </w:p>
    <w:p>
      <w:r>
        <w:t>____________________________</w:t>
      </w:r>
    </w:p>
    <w:p>
      <w:r>
        <w:t>G. Talmadge, Executive Sponsor (VP of Operations)</w:t>
      </w:r>
    </w:p>
    <w:p>
      <w:r>
        <w:t>____________________________</w:t>
      </w:r>
    </w:p>
    <w:p>
      <w:r>
        <w:t>C. Tyrrell, Program Manager</w:t>
      </w:r>
    </w:p>
    <w:p>
      <w:r>
        <w:rPr>
          <w:i/>
        </w:rPr>
        <w:t>Illustrative program data — created to demonstrate AS9100-aligned aerospace program management practice, not a real supplier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