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0D7377"/>
          <w:sz w:val="16"/>
          <w:szCs w:val="16"/>
        </w:rPr>
        <w:t xml:space="preserve">PROGRAM SETUP</w:t>
      </w:r>
    </w:p>
    <w:p>
      <w:pPr>
        <w:spacing w:after="120"/>
      </w:pPr>
      <w:r>
        <w:rPr>
          <w:b/>
          <w:bCs/>
          <w:color w:val="12213B"/>
          <w:sz w:val="40"/>
          <w:szCs w:val="40"/>
        </w:rPr>
        <w:t xml:space="preserve">PI Objectives (Light SAFe)</w:t>
      </w:r>
    </w:p>
    <w:p>
      <w:pPr>
        <w:pBdr>
          <w:bottom w:val="single" w:color="E3E6EB" w:sz="6"/>
        </w:pBdr>
        <w:spacing w:after="300"/>
      </w:pPr>
      <w:r>
        <w:rPr>
          <w:color w:val="5B6472"/>
          <w:sz w:val="18"/>
          <w:szCs w:val="18"/>
        </w:rPr>
        <w:t xml:space="preserve">MedConnect Mobile</w:t>
      </w:r>
    </w:p>
    <w:p>
      <w:pPr>
        <w:spacing w:after="110" w:before="260"/>
      </w:pPr>
      <w:r>
        <w:rPr>
          <w:b/>
          <w:bCs/>
          <w:color w:val="12213B"/>
          <w:sz w:val="26"/>
          <w:szCs w:val="26"/>
        </w:rPr>
        <w:t xml:space="preserve">Why This Exists, and Why It's Light</w:t>
      </w:r>
    </w:p>
    <w:p>
      <w:pPr>
        <w:spacing w:after="1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This program never ran a formal SAFe PI Planning event or Agile Release Train — two teams didn't warrant that overhead. Release 1 and Release 2 functioned as informal Program Increments; team-level objectives with business-value scoring and ROAM-format risk tracking are shown below.</w:t>
      </w:r>
    </w:p>
    <w:p>
      <w:pPr>
        <w:spacing w:after="110" w:before="260"/>
      </w:pPr>
      <w:r>
        <w:rPr>
          <w:b/>
          <w:bCs/>
          <w:color w:val="12213B"/>
          <w:sz w:val="26"/>
          <w:szCs w:val="26"/>
        </w:rPr>
        <w:t xml:space="preserve">PI 1 (informal) — Release 1 / MVP — Sprints 1-5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0"/>
        <w:gridCol w:w="2250"/>
        <w:gridCol w:w="2250"/>
        <w:gridCol w:w="2250"/>
      </w:tblGrid>
      <w:tr>
        <w:tc>
          <w:tcPr>
            <w:tcW w:type="dxa" w:w="225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Team</w:t>
            </w:r>
          </w:p>
        </w:tc>
        <w:tc>
          <w:tcPr>
            <w:tcW w:type="dxa" w:w="225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Objective</w:t>
            </w:r>
          </w:p>
        </w:tc>
        <w:tc>
          <w:tcPr>
            <w:tcW w:type="dxa" w:w="225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Business Value</w:t>
            </w:r>
          </w:p>
        </w:tc>
        <w:tc>
          <w:tcPr>
            <w:tcW w:type="dxa" w:w="225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Outcome</w:t>
            </w:r>
          </w:p>
        </w:tc>
      </w:tr>
      <w:tr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Falcon</w:t>
            </w:r>
          </w:p>
        </w:tc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Register, book, and complete a video visit end-to-end on mobile</w:t>
            </w:r>
          </w:p>
        </w:tc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9</w:t>
            </w:r>
          </w:p>
        </w:tc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Achieved</w:t>
            </w:r>
          </w:p>
        </w:tc>
      </w:tr>
      <w:tr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Falcon</w:t>
            </w:r>
          </w:p>
        </w:tc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Reconnect within 5-min window after dropped connection</w:t>
            </w:r>
          </w:p>
        </w:tc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7</w:t>
            </w:r>
          </w:p>
        </w:tc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Achieved</w:t>
            </w:r>
          </w:p>
        </w:tc>
      </w:tr>
      <w:tr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Anchor</w:t>
            </w:r>
          </w:p>
        </w:tc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Provider console: full schedule view + one-tap launch</w:t>
            </w:r>
          </w:p>
        </w:tc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8</w:t>
            </w:r>
          </w:p>
        </w:tc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Achieved</w:t>
            </w:r>
          </w:p>
        </w:tc>
      </w:tr>
      <w:tr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Anchor</w:t>
            </w:r>
          </w:p>
        </w:tc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Active-patient migration validated, zero critical defects</w:t>
            </w:r>
          </w:p>
        </w:tc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10</w:t>
            </w:r>
          </w:p>
        </w:tc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Achieved</w:t>
            </w:r>
          </w:p>
        </w:tc>
      </w:tr>
    </w:tbl>
    <w:p>
      <w:pPr>
        <w:spacing w:after="110" w:before="260"/>
      </w:pPr>
      <w:r>
        <w:rPr>
          <w:b/>
          <w:bCs/>
          <w:color w:val="12213B"/>
          <w:sz w:val="26"/>
          <w:szCs w:val="26"/>
        </w:rPr>
        <w:t xml:space="preserve">PI 2 (informal) — Release 2 / Cutover — Sprints 6-8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0"/>
        <w:gridCol w:w="2250"/>
        <w:gridCol w:w="2250"/>
        <w:gridCol w:w="2250"/>
      </w:tblGrid>
      <w:tr>
        <w:tc>
          <w:tcPr>
            <w:tcW w:type="dxa" w:w="225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Team</w:t>
            </w:r>
          </w:p>
        </w:tc>
        <w:tc>
          <w:tcPr>
            <w:tcW w:type="dxa" w:w="225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Objective</w:t>
            </w:r>
          </w:p>
        </w:tc>
        <w:tc>
          <w:tcPr>
            <w:tcW w:type="dxa" w:w="225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Business Value</w:t>
            </w:r>
          </w:p>
        </w:tc>
        <w:tc>
          <w:tcPr>
            <w:tcW w:type="dxa" w:w="225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Outcome</w:t>
            </w:r>
          </w:p>
        </w:tc>
      </w:tr>
      <w:tr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Falcon</w:t>
            </w:r>
          </w:p>
        </w:tc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Secure messaging + prescription refill requests</w:t>
            </w:r>
          </w:p>
        </w:tc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8</w:t>
            </w:r>
          </w:p>
        </w:tc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Achieved</w:t>
            </w:r>
          </w:p>
        </w:tc>
      </w:tr>
      <w:tr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Anchor</w:t>
            </w:r>
          </w:p>
        </w:tc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Visit notes push to EHR without re-entry</w:t>
            </w:r>
          </w:p>
        </w:tc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9</w:t>
            </w:r>
          </w:p>
        </w:tc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Achieved</w:t>
            </w:r>
          </w:p>
        </w:tc>
      </w:tr>
      <w:tr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Anchor</w:t>
            </w:r>
          </w:p>
        </w:tc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Full historical migration + CareLink Classic decommission</w:t>
            </w:r>
          </w:p>
        </w:tc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10</w:t>
            </w:r>
          </w:p>
        </w:tc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Achieved</w:t>
            </w:r>
          </w:p>
        </w:tc>
      </w:tr>
      <w:tr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Falcon</w:t>
            </w:r>
          </w:p>
        </w:tc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Release 2 regression pass, zero critical defects</w:t>
            </w:r>
          </w:p>
        </w:tc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9</w:t>
            </w:r>
          </w:p>
        </w:tc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Achieved</w:t>
            </w:r>
          </w:p>
        </w:tc>
      </w:tr>
    </w:tbl>
    <w:p>
      <w:pPr>
        <w:spacing w:after="110" w:before="260"/>
      </w:pPr>
      <w:r>
        <w:rPr>
          <w:b/>
          <w:bCs/>
          <w:color w:val="12213B"/>
          <w:sz w:val="26"/>
          <w:szCs w:val="26"/>
        </w:rPr>
        <w:t xml:space="preserve">Predictability</w:t>
      </w:r>
    </w:p>
    <w:p>
      <w:pPr>
        <w:spacing w:after="1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8 of 8 objectives achieved (100%) across both informal PIs — consistent with the program's overall ~94% story-point predictability.</w:t>
      </w:r>
    </w:p>
    <w:sectPr>
      <w:pgSz w:w="12240" w:h="15840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2026-07-13T22:25:13.842Z</dcterms:created>
  <dcterms:modified xsi:type="dcterms:W3CDTF">2026-07-13T22:25:13.842Z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