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0D7377"/><w:sz w:val="16"/><w:szCs w:val="16"/></w:rPr><w:t xml:space="preserve">00 · PROGRAM SETUP</w:t></w:r></w:p><w:p><w:pPr><w:spacing w:after="120"/></w:pPr><w:r><w:rPr><w:b/><w:bCs/><w:color w:val="12213B"/><w:sz w:val="40"/><w:szCs w:val="40"/></w:rPr><w:t xml:space="preserve">Program Charter</w:t></w:r></w:p><w:p><w:pPr><w:pBdr><w:bottom w:val="single" w:color="E3E6EB" w:sz="6"/></w:pBdr><w:spacing w:after="300"/></w:pPr><w:r><w:rPr><w:color w:val="5B6472"/><w:sz w:val="18"/><w:szCs w:val="18"/></w:rPr><w:t xml:space="preserve">MedConnect Mobile</w:t></w:r></w:p><w:p><w:pPr><w:spacing w:after="110" w:before="260"/></w:pPr><w:r><w:rPr><w:b/><w:bCs/><w:color w:val="12213B"/><w:sz w:val="26"/><w:szCs w:val="26"/></w:rPr><w:t xml:space="preserve">1. Purpose &amp; Business Case</w:t></w:r></w:p><w:p><w:pPr><w:spacing w:after="140"/></w:pPr><w:r><w:rPr><w:b w:val="false"/><w:bCs w:val="false"/><w:i w:val="false"/><w:iCs w:val="false"/><w:sz w:val="21"/><w:szCs w:val="21"/></w:rPr><w:t xml:space="preserve">This charter formally authorizes the MedConnect Mobile program and grants C. Tyrrell authority as Product Owner &amp; Agile Delivery Lead to apply ACME Health resources to it. CareLink Classic&apos;s vendor announced end-of-support 18 months out, with no mobile roadmap ever delivered and a 34% renewal price increase at last cycle. Full business case in the companion Cost-Benefit Analysis.</w:t></w:r></w:p><w:p><w:pPr><w:spacing w:after="110" w:before="260"/></w:pPr><w:r><w:rPr><w:b/><w:bCs/><w:color w:val="12213B"/><w:sz w:val="26"/><w:szCs w:val="26"/></w:rPr><w:t xml:space="preserve">2. Objectives &amp; Success Criteria</w:t></w:r></w:p><0/><w:p><w:pPr><w:spacing w:after="110" w:before="260"/></w:pPr><w:r><w:rPr><w:b/><w:bCs/><w:color w:val="12213B"/><w:sz w:val="26"/><w:szCs w:val="26"/></w:rPr><w:t xml:space="preserve">3. High-Level Scope</w:t></w:r></w:p><w:p><w:pPr><w:spacing w:after="140"/></w:pPr><w:r><w:rPr><w:b w:val="false"/><w:bCs w:val="false"/><w:i w:val="false"/><w:iCs w:val="false"/><w:sz w:val="21"/><w:szCs w:val="21"/></w:rPr><w:t xml:space="preserve">In scope: patient mobile app (iOS/Android), provider web console, video visit integration, full patient-record migration, CareLink Classic decommission, secure messaging and prescription refills.</w:t></w:r></w:p><w:p><w:pPr><w:spacing w:after="140"/></w:pPr><w:r><w:rPr><w:b w:val="false"/><w:bCs w:val="false"/><w:i w:val="false"/><w:iCs w:val="false"/><w:sz w:val="21"/><w:szCs w:val="21"/></w:rPr><w:t xml:space="preserve">Out of scope (candidate backlog): remote patient monitoring integration, multi-language support, group/family visit scheduling, provider analytics dashboard.</w:t></w:r></w:p><w:p><w:pPr><w:spacing w:after="110" w:before="260"/></w:pPr><w:r><w:rPr><w:b/><w:bCs/><w:color w:val="12213B"/><w:sz w:val="26"/><w:szCs w:val="26"/></w:rPr><w:t xml:space="preserve">4. Delivery Approach</w:t></w:r></w:p><w:p><w:pPr><w:spacing w:after="140"/></w:pPr><w:r><w:rPr><w:b w:val="false"/><w:bCs w:val="false"/><w:i w:val="false"/><w:iCs w:val="false"/><w:sz w:val="21"/><w:szCs w:val="21"/></w:rPr><w:t xml:space="preserve">Scrum, two coordinating teams (Falcon/Mobile, Anchor/Platform) via a lightweight Scrum-of-Scrums — not full SAFe, which this program&apos;s size doesn&apos;t warrant.</w:t></w:r></w:p><w:p><w:pPr><w:spacing w:after="110" w:before="260"/></w:pPr><w:r><w:rPr><w:b/><w:bCs/><w:color w:val="12213B"/><w:sz w:val="26"/><w:szCs w:val="26"/></w:rPr><w:t xml:space="preserve">5. High-Level Risks</w:t></w:r></w:p><0/><w:p><w:pPr><w:spacing w:after="110" w:before="260"/></w:pPr><w:r><w:rPr><w:b/><w:bCs/><w:color w:val="12213B"/><w:sz w:val="26"/><w:szCs w:val="26"/></w:rPr><w:t xml:space="preserve">6. Summary Milestone Schedule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500"/><w:gridCol w:w="4500"/></w:tblGrid><w:tr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Milestone</w:t></w:r></w:p></w:tc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Target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Program Kickoff / Sprint 0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Jan 5, 2026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Release 1 (MVP)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Mar 27, 2026 (Sprint 5)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Release 2 (Full Cutover)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May 8, 2026 (Sprint 8)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Program Closeout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May 15, 2026</w:t></w:r></w:p></w:tc></w:tr></w:tbl><w:p><w:pPr><w:spacing w:after="110" w:before="260"/></w:pPr><w:r><w:rPr><w:b/><w:bCs/><w:color w:val="12213B"/><w:sz w:val="26"/><w:szCs w:val="26"/></w:rPr><w:t xml:space="preserve">7. Summary Budget</w:t></w:r></w:p><w:p><w:pPr><w:spacing w:after="140"/></w:pPr><w:r><w:rPr><w:b w:val="false"/><w:bCs w:val="false"/><w:i w:val="false"/><w:iCs w:val="false"/><w:sz w:val="21"/><w:szCs w:val="21"/></w:rPr><w:t xml:space="preserve">Approved baseline: $1,850,000. Full detail in the Program Budget.</w:t></w:r></w:p><w:p><w:pPr><w:spacing w:after="110" w:before="260"/></w:pPr><w:r><w:rPr><w:b/><w:bCs/><w:color w:val="12213B"/><w:sz w:val="26"/><w:szCs w:val="26"/></w:rPr><w:t xml:space="preserve">8. Key Stakeholders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500"/><w:gridCol w:w="4500"/></w:tblGrid><w:tr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Name</w:t></w:r></w:p></w:tc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Role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M. Delacroix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Executive Sponsor, VP Digital Health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C. Tyrrell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Product Owner &amp; Agile Delivery Lead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Dr. L. Nguyen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Chief Medical Information Officer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T. Brannigan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Director, Information Security &amp; Compliance</w:t></w:r></w:p></w:tc></w:tr></w:tbl><w:p><w:pPr><w:spacing w:after="110" w:before="260"/></w:pPr><w:r><w:rPr><w:b/><w:bCs/><w:color w:val="12213B"/><w:sz w:val="26"/><w:szCs w:val="26"/></w:rPr><w:t xml:space="preserve">9. Product Owner Authority</w:t></w:r></w:p><w:p><w:pPr><w:spacing w:after="140"/></w:pPr><w:r><w:rPr><w:b w:val="false"/><w:bCs w:val="false"/><w:i w:val="false"/><w:iCs w:val="false"/><w:sz w:val="21"/><w:szCs w:val="21"/></w:rPr><w:t xml:space="preserve">C. Tyrrell has authority to prioritize/re-prioritize the backlog within approved scope and budget, facilitate the Scrum-of-Scrums, and represent the program to the Steering Committee. Baseline changes require Sponsor approval via formal Change Request.</w:t></w:r></w:p><w:p><w:pPr><w:spacing w:after="110" w:before="260"/></w:pPr><w:r><w:rPr><w:b/><w:bCs/><w:color w:val="12213B"/><w:sz w:val="26"/><w:szCs w:val="26"/></w:rPr><w:t xml:space="preserve">10. Assumptions &amp; Constraints</w:t></w:r></w:p><0/><w:p><w:pPr><w:spacing w:after="110" w:before="260"/></w:pPr><w:r><w:rPr><w:b/><w:bCs/><w:color w:val="12213B"/><w:sz w:val="26"/><w:szCs w:val="26"/></w:rPr><w:t xml:space="preserve">11. Approval</w:t></w:r></w:p><w:p><w:pPr><w:spacing w:after="140"/></w:pPr><w:r><w:rPr><w:b w:val="false"/><w:bCs w:val="false"/><w:i w:val="false"/><w:iCs w:val="false"/><w:sz w:val="21"/><w:szCs w:val="21"/></w:rPr><w:t xml:space="preserve">Approved: M. Delacroix, Executive Sponsor  |  C. Tyrrell, Product Owner &amp; Agile Delivery Lead</w:t></w:r></w:p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2026-07-13T22:25:13.554Z</dcterms:created>
  <dcterms:modified xsi:type="dcterms:W3CDTF">2026-07-13T22:25:13.554Z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