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23 · GOVERNANCE &amp; STAKEHOLDER</w:t></w:r></w:p><w:p><w:pPr><w:spacing w:after="120"/></w:pPr><w:r><w:rPr><w:b/><w:bCs/><w:color w:val="12213B"/><w:sz w:val="40"/><w:szCs w:val="40"/></w:rPr><w:t xml:space="preserve">Program Closeout &amp; Lessons Learned</w:t></w:r></w:p><w:p><w:pPr><w:pBdr><w:bottom w:val="single" w:color="E3E6EB" w:sz="6"/></w:pBdr><w:spacing w:after="300"/></w:pPr><w:r><w:rPr><w:color w:val="5B6472"/><w:sz w:val="18"/><w:szCs w:val="18"/></w:rPr><w:t xml:space="preserve">MedConnect Mobile</w:t></w:r><w:r><w:rPr><w:color w:val="5B6472"/><w:sz w:val="18"/><w:szCs w:val="18"/></w:rPr><w:t xml:space="preserve">   |   </w:t></w:r><w:r><w:rPr><w:color w:val="5B6472"/><w:sz w:val="18"/><w:szCs w:val="18"/></w:rPr><w:t xml:space="preserve">Closed May 15, 2026</w:t></w:r></w:p><w:p><w:pPr><w:pStyle w:val="Heading2"/><w:spacing w:after="120" w:before="300"/></w:pPr><w:r><w:rPr><w:b/><w:bCs/><w:color w:val="12213B"/><w:sz w:val="26"/><w:szCs w:val="26"/></w:rPr><w:t xml:space="preserve">Final Performance Summary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500"/><w:gridCol w:w="4500"/></w:tblGrid><w:tr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Metric</w:t></w:r></w:p></w:tc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Value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Duration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Sprint 0 + 8 sprints, 18 weeks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Scope Delivered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337 / 342 pts (98.5%)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Budget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$1.81M / $1.85M (97.8%)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Avg. Velocity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43 pts/sprint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Predictability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~94%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Critical Defects at Launch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0</w:t></w:r></w:p></w:tc></w:tr></w:tbl><w:p><w:pPr><w:pStyle w:val="Heading2"/><w:spacing w:after="120" w:before="300"/></w:pPr><w:r><w:rPr><w:b/><w:bCs/><w:color w:val="12213B"/><w:sz w:val="26"/><w:szCs w:val="26"/></w:rPr><w:t xml:space="preserve">Deliverable Acceptance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4500"/><w:gridCol w:w="4500"/></w:tblGrid><w:tr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Deliverable</w:t></w:r></w:p></w:tc><w:tc><w:tcPr><w:tcW w:type="dxa" w:w="45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Acceptance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Release 1 (MVP)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Accepted Mar 27, 2026 (M. Delacroix)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Release 2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Accepted May 8, 2026 (M. Delacroix)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Full historical migration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Validated &amp; accepted (T. Brannigan)</w:t></w:r></w:p></w:tc></w:tr><w:tr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CareLink Classic decommission</w:t></w:r></w:p></w:tc><w:tc><w:tcPr><w:tcW w:type="dxa" w:w="45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Complete, verified May 12, 2026</w:t></w:r></w:p></w:tc></w:tr></w:tbl><w:p><w:pPr><w:pStyle w:val="Heading2"/><w:spacing w:after="120" w:before="300"/></w:pPr><w:r><w:rPr><w:b/><w:bCs/><w:color w:val="12213B"/><w:sz w:val="26"/><w:szCs w:val="26"/></w:rPr><w:t xml:space="preserve">Lessons Learned</w:t></w:r></w:p><0/><w:p><w:pPr><w:pStyle w:val="Heading2"/><w:spacing w:after="120" w:before="300"/></w:pPr><w:r><w:rPr><w:b/><w:bCs/><w:color w:val="12213B"/><w:sz w:val="26"/><w:szCs w:val="26"/></w:rPr><w:t xml:space="preserve">Recommendation</w:t></w:r></w:p><w:p><w:pPr><w:spacing w:after="140"/></w:pPr><w:r><w:rPr><w:b w:val="false"/><w:bCs w:val="false"/><w:i w:val="false"/><w:iCs w:val="false"/><w:sz w:val="21"/><w:szCs w:val="21"/></w:rPr><w:t xml:space="preserve">This delivery model is recommended as a repeatable pattern for future ACME Health digital programs of similar size, before reaching for a heavier scaled-Agile framework.</w:t></w:r></w:p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2026-07-13T21:52:41.675Z</dcterms:created>
  <dcterms:modified xsi:type="dcterms:W3CDTF">2026-07-13T21:52:41.675Z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