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b/>
          <w:bCs/>
          <w:color w:val="0D7377"/>
          <w:sz w:val="16"/>
          <w:szCs w:val="16"/>
        </w:rPr>
        <w:t xml:space="preserve">METRICS &amp; REPORTING</w:t>
      </w:r>
    </w:p>
    <w:p>
      <w:pPr>
        <w:spacing w:after="120"/>
      </w:pPr>
      <w:r>
        <w:rPr>
          <w:b/>
          <w:bCs/>
          <w:color w:val="12213B"/>
          <w:sz w:val="40"/>
          <w:szCs w:val="40"/>
        </w:rPr>
        <w:t xml:space="preserve">Program Dashboard</w:t>
      </w:r>
    </w:p>
    <w:p>
      <w:pPr>
        <w:pBdr>
          <w:bottom w:val="single" w:color="E3E6EB" w:sz="6"/>
        </w:pBdr>
        <w:spacing w:after="300"/>
      </w:pPr>
      <w:r>
        <w:rPr>
          <w:color w:val="5B6472"/>
          <w:sz w:val="18"/>
          <w:szCs w:val="18"/>
        </w:rPr>
        <w:t xml:space="preserve">MedConnect Mobile</w:t>
      </w:r>
      <w:r>
        <w:rPr>
          <w:color w:val="5B6472"/>
          <w:sz w:val="18"/>
          <w:szCs w:val="18"/>
        </w:rPr>
        <w:t xml:space="preserve">   |   </w:t>
      </w:r>
      <w:r>
        <w:rPr>
          <w:color w:val="5B6472"/>
          <w:sz w:val="18"/>
          <w:szCs w:val="18"/>
        </w:rPr>
        <w:t xml:space="preserve">Closed — Complete</w:t>
      </w:r>
      <w:r>
        <w:rPr>
          <w:color w:val="5B6472"/>
          <w:sz w:val="18"/>
          <w:szCs w:val="18"/>
        </w:rPr>
        <w:t xml:space="preserve">   |   </w:t>
      </w:r>
      <w:r>
        <w:rPr>
          <w:color w:val="5B6472"/>
          <w:sz w:val="18"/>
          <w:szCs w:val="18"/>
        </w:rPr>
        <w:t xml:space="preserve">As of May 15, 2026</w:t>
      </w:r>
    </w:p>
    <w:p>
      <w:pPr>
        <w:spacing w:after="110" w:before="260"/>
      </w:pPr>
      <w:r>
        <w:rPr>
          <w:b/>
          <w:bCs/>
          <w:color w:val="12213B"/>
          <w:sz w:val="26"/>
          <w:szCs w:val="26"/>
        </w:rPr>
        <w:t xml:space="preserve">Program Health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500"/>
      </w:tblGrid>
      <w:tr>
        <w:tc>
          <w:tcPr>
            <w:tcW w:type="dxa" w:w="4500"/>
            <w:shd w:fill="12213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Dimension</w:t>
            </w:r>
          </w:p>
        </w:tc>
        <w:tc>
          <w:tcPr>
            <w:tcW w:type="dxa" w:w="4500"/>
            <w:shd w:fill="12213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Status</w:t>
            </w:r>
          </w:p>
        </w:tc>
      </w:tr>
      <w:tr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Overall</w:t>
            </w:r>
          </w:p>
        </w:tc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Green — Closed on target</w:t>
            </w:r>
          </w:p>
        </w:tc>
      </w:tr>
      <w:tr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Schedule</w:t>
            </w:r>
          </w:p>
        </w:tc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Green — On time</w:t>
            </w:r>
          </w:p>
        </w:tc>
      </w:tr>
      <w:tr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Scope</w:t>
            </w:r>
          </w:p>
        </w:tc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Green — 98.5% delivered</w:t>
            </w:r>
          </w:p>
        </w:tc>
      </w:tr>
      <w:tr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Budget</w:t>
            </w:r>
          </w:p>
        </w:tc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Green — -2.2% to baseline</w:t>
            </w:r>
          </w:p>
        </w:tc>
      </w:tr>
      <w:tr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Quality</w:t>
            </w:r>
          </w:p>
        </w:tc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Green — 0 critical defects</w:t>
            </w:r>
          </w:p>
        </w:tc>
      </w:tr>
    </w:tbl>
    <w:p>
      <w:pPr>
        <w:spacing w:after="110" w:before="260"/>
      </w:pPr>
      <w:r>
        <w:rPr>
          <w:b/>
          <w:bCs/>
          <w:color w:val="12213B"/>
          <w:sz w:val="26"/>
          <w:szCs w:val="26"/>
        </w:rPr>
        <w:t xml:space="preserve">Release Timeline</w:t>
      </w:r>
    </w:p>
    <w:p>
      <w:pPr>
        <w:spacing w:after="14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Kickoff (Jan 5) -&gt; Release 1/MVP (Mar 27) -&gt; Release 2/Cutover (May 8) -&gt; Closeout (May 15). All milestones met on original target dates.</w:t>
      </w:r>
    </w:p>
    <w:p>
      <w:pPr>
        <w:spacing w:after="110" w:before="260"/>
      </w:pPr>
      <w:r>
        <w:rPr>
          <w:b/>
          <w:bCs/>
          <w:color w:val="12213B"/>
          <w:sz w:val="26"/>
          <w:szCs w:val="26"/>
        </w:rPr>
        <w:t xml:space="preserve">Budget</w:t>
      </w:r>
    </w:p>
    <w:p>
      <w:pPr>
        <w:spacing w:after="14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Spend to date: $1.81M of $1.85M (97.8%). Contingency remaining: $106K of $127K. Variance to baseline: -2.2%. 3 approved CRs, all Implemented.</w:t>
      </w:r>
    </w:p>
    <w:p>
      <w:pPr>
        <w:spacing w:after="110" w:before="260"/>
      </w:pPr>
      <w:r>
        <w:rPr>
          <w:b/>
          <w:bCs/>
          <w:color w:val="12213B"/>
          <w:sz w:val="26"/>
          <w:szCs w:val="26"/>
        </w:rPr>
        <w:t xml:space="preserve">RAIDD Summary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000"/>
        <w:gridCol w:w="3000"/>
      </w:tblGrid>
      <w:tr>
        <w:tc>
          <w:tcPr>
            <w:tcW w:type="dxa" w:w="3000"/>
            <w:shd w:fill="12213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Category</w:t>
            </w:r>
          </w:p>
        </w:tc>
        <w:tc>
          <w:tcPr>
            <w:tcW w:type="dxa" w:w="3000"/>
            <w:shd w:fill="12213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Count</w:t>
            </w:r>
          </w:p>
        </w:tc>
        <w:tc>
          <w:tcPr>
            <w:tcW w:type="dxa" w:w="3000"/>
            <w:shd w:fill="12213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Note</w:t>
            </w:r>
          </w:p>
        </w:tc>
      </w:tr>
      <w:tr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Risks</w:t>
            </w:r>
          </w:p>
        </w:tc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4</w:t>
            </w:r>
          </w:p>
        </w:tc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All closed</w:t>
            </w:r>
          </w:p>
        </w:tc>
      </w:tr>
      <w:tr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Assumptions</w:t>
            </w:r>
          </w:p>
        </w:tc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3</w:t>
            </w:r>
          </w:p>
        </w:tc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All held true</w:t>
            </w:r>
          </w:p>
        </w:tc>
      </w:tr>
      <w:tr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Issues</w:t>
            </w:r>
          </w:p>
        </w:tc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2</w:t>
            </w:r>
          </w:p>
        </w:tc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1 closed, 1 accepted</w:t>
            </w:r>
          </w:p>
        </w:tc>
      </w:tr>
      <w:tr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Dependencies</w:t>
            </w:r>
          </w:p>
        </w:tc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3</w:t>
            </w:r>
          </w:p>
        </w:tc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All resolved</w:t>
            </w:r>
          </w:p>
        </w:tc>
      </w:tr>
      <w:tr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Decisions</w:t>
            </w:r>
          </w:p>
        </w:tc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5</w:t>
            </w:r>
          </w:p>
        </w:tc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All approved</w:t>
            </w:r>
          </w:p>
        </w:tc>
      </w:tr>
    </w:tbl>
    <w:p>
      <w:pPr>
        <w:spacing w:after="110" w:before="260"/>
      </w:pPr>
      <w:r>
        <w:rPr>
          <w:b/>
          <w:bCs/>
          <w:color w:val="12213B"/>
          <w:sz w:val="26"/>
          <w:szCs w:val="26"/>
        </w:rPr>
        <w:t xml:space="preserve">Vendor Readiness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500"/>
      </w:tblGrid>
      <w:tr>
        <w:tc>
          <w:tcPr>
            <w:tcW w:type="dxa" w:w="4500"/>
            <w:shd w:fill="12213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Vendor</w:t>
            </w:r>
          </w:p>
        </w:tc>
        <w:tc>
          <w:tcPr>
            <w:tcW w:type="dxa" w:w="4500"/>
            <w:shd w:fill="12213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Status</w:t>
            </w:r>
          </w:p>
        </w:tc>
      </w:tr>
      <w:tr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PulseConnect (video SDK)</w:t>
            </w:r>
          </w:p>
        </w:tc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SLA met, renewal recommended</w:t>
            </w:r>
          </w:p>
        </w:tc>
      </w:tr>
      <w:tr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Vantix (legacy, offboarded)</w:t>
            </w:r>
          </w:p>
        </w:tc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Decommissioned, deletion cert. pending</w:t>
            </w:r>
          </w:p>
        </w:tc>
      </w:tr>
    </w:tbl>
    <w:sectPr>
      <w:pgSz w:w="12240" w:h="15840" w:orient="portrait"/>
      <w:pgMar w:top="1000" w:right="1000" w:bottom="10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2026-07-13T22:25:14.003Z</dcterms:created>
  <dcterms:modified xsi:type="dcterms:W3CDTF">2026-07-13T22:25:14.003Z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