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0D7377"/>
          <w:sz w:val="16"/>
          <w:szCs w:val="16"/>
        </w:rPr>
        <w:t xml:space="preserve">GOVERNANCE &amp; STAKEHOLDER</w:t>
      </w:r>
    </w:p>
    <w:p>
      <w:pPr>
        <w:spacing w:after="120"/>
      </w:pPr>
      <w:r>
        <w:rPr>
          <w:b/>
          <w:bCs/>
          <w:color w:val="12213B"/>
          <w:sz w:val="40"/>
          <w:szCs w:val="40"/>
        </w:rPr>
        <w:t xml:space="preserve">Program Governance Model</w:t>
      </w:r>
    </w:p>
    <w:p>
      <w:pPr>
        <w:pBdr>
          <w:bottom w:val="single" w:color="E3E6EB" w:sz="6"/>
        </w:pBdr>
        <w:spacing w:after="300"/>
      </w:pPr>
      <w:r>
        <w:rPr>
          <w:color w:val="5B6472"/>
          <w:sz w:val="18"/>
          <w:szCs w:val="18"/>
        </w:rPr>
        <w:t xml:space="preserve">MedConnect Mobile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1. Purpose &amp; Principles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Defines who has authority to decide and how exceptions are resolved — lighter than a PMBOK governance model, sized to a two-team, 18-week program.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2. Governance Structure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Executive Sponsor (M. Delacroix) -&gt; Product Owner &amp; Agile Delivery Lead (C. Tyrrell) -&gt; two Scrum teams, with matrixed advisory lines to Clinical (Dr. Nguyen) and Compliance (T. Brannigan). Full detail in the Organizational Chart.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3. Decision Rights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Tier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Decision Type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Authority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1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Backlog prioritization, re-estimation, story splits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Product Owner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2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Cost/schedule/scope-boundary change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Executive Sponsor (formal CR)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3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Clinical workflow or PHI/compliance exception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CMIO / Compliance Director</w:t>
            </w:r>
          </w:p>
        </w:tc>
      </w:tr>
    </w:tbl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4. Escalation Process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Scrum Master resolves within team -&gt; Scrum-of-Scrums for cross-team blockers -&gt; Product Owner escalates to Sponsor/Clinical/Compliance -&gt; Sponsor decision if scope/budget/timeline affected.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5. Meeting Cadence &amp; Reporting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Cadence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Forum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Purpose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Daily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Team Standup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Coordination, blockers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2x/week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Scrum-of-Scrums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Cross-team dependency sync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Per sprint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Review + Retrospective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Stakeholder demo; team improvement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Monthly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Steering Committee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Formal program-health review</w:t>
            </w:r>
          </w:p>
        </w:tc>
      </w:tr>
    </w:tbl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6. Change Control Governance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Formal budget/schedule baseline changes are logged on the Change Control Log. Backlog reprioritization within approved scope does not require this process.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7. Vendor Governance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Two vendors, two models: PulseConnect (active, ongoing SLA management) and Vantix Health Systems (outgoing, checklist-driven offboarding). Vendor contract changes with cost impact require Sponsor approval.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8. Release Gates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Gate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Go/No-Go Criteria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Approval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Release 1 (MVP)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All acceptance criteria met; zero P1/P2; Compliance/Clinical sign-off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Executive Sponsor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Release 2 (Cutover)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Full migration validated; decommission-ready; Compliance sign-off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Executive Sponsor</w:t>
            </w:r>
          </w:p>
        </w:tc>
      </w:tr>
    </w:tbl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9. Compliance &amp; Clinical Oversight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Any PHI or clinical-workflow story cannot be marked Done, and no release can go live, without sign-off from Compliance (and Clinical for workflow changes) — regardless of schedule pressure. A standing exception to normal Product Owner decision rights.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10. Performance Monitoring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Monitored via the Velocity Chart and Release Burnup, reported monthly via the Steering Committee Deck. Thresholds: predictability &gt;= 90%, zero open P1/P2 at release gates, budget variance within Contingency Reserve.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11. Approval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Approved: M. Delacroix, Executive Sponsor  |  C. Tyrrell, Product Owner &amp; Agile Delivery Lead</w:t>
      </w:r>
    </w:p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2026-07-13T22:25:13.775Z</dcterms:created>
  <dcterms:modified xsi:type="dcterms:W3CDTF">2026-07-13T22:25:13.775Z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