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Program Management Plan</w:t>
      </w:r>
    </w:p>
    <w:p>
      <w:r>
        <w:rPr>
          <w:b/>
        </w:rPr>
        <w:t>MedConnect Mobile — Telehealth Platform Modernization</w:t>
      </w:r>
    </w:p>
    <w:p>
      <w:pPr>
        <w:pStyle w:val="Heading2"/>
      </w:pPr>
      <w:r>
        <w:t>1. Introduction &amp; Purpose</w:t>
      </w:r>
    </w:p>
    <w:p>
      <w:r>
        <w:t>This Program Management Plan describes how MedConnect Mobile will be delivered, monitored, and adapted. It is the integrating document across every specialized artifact in this suite — the Program Charter, Team Charter, Program Budget, RAIDD Log, and Program Governance Model each cover one discipline in depth; this plan ties them together.</w:t>
      </w:r>
    </w:p>
    <w:p>
      <w:pPr>
        <w:pStyle w:val="Heading2"/>
      </w:pPr>
      <w:r>
        <w:t>2. Program Overview</w:t>
      </w:r>
    </w:p>
    <w:p>
      <w:r>
        <w:t>MedConnect Mobile replaces the CareLink Classic telehealth platform, approaching vendor end-of-life on a fixed 18-month window with no extension available. Delivery runs across two coordinating Scrum teams, Falcon and Anchor, in 2-week sprints toward two planned releases.</w:t>
      </w:r>
    </w:p>
    <w:p>
      <w:pPr>
        <w:pStyle w:val="Heading2"/>
      </w:pPr>
      <w:r>
        <w:t>3. Agile Delivery Approach</w:t>
      </w:r>
    </w:p>
    <w:p>
      <w:r>
        <w:t>The program follows a two-team Scrum model with Scrum-of-Scrums held 2x/week (15 minutes, cross-team dependencies only). C. Tyrrell serves as Product Owner &amp; Agile Delivery Lead across both teams, owning the single prioritized backlog both teams pull from.</w:t>
      </w:r>
    </w:p>
    <w:p>
      <w:pPr>
        <w:pStyle w:val="Heading2"/>
      </w:pPr>
      <w:r>
        <w:t>4. Scope Management</w:t>
      </w:r>
    </w:p>
    <w:p>
      <w:r>
        <w:t>Scope is expressed as a single prioritized Product Backlog of Epics, Features, and Stories. Backlog reprioritization within a release is expected and does not itself constitute a change request; only a change to release-level scope commitments triggers formal change control.</w:t>
      </w:r>
    </w:p>
    <w:p>
      <w:pPr>
        <w:pStyle w:val="Heading2"/>
      </w:pPr>
      <w:r>
        <w:t>5. Release &amp; Sprint Planning</w:t>
      </w:r>
    </w:p>
    <w:p>
      <w:r>
        <w:t>Delivery is organized into two planned releases, each broken into 2-week sprints. Sprint-level planning, commitment, and burndown are tracked per Sprint Planning and the Release Schedule.</w:t>
      </w:r>
    </w:p>
    <w:p>
      <w:pPr>
        <w:pStyle w:val="Heading2"/>
      </w:pPr>
      <w:r>
        <w:t>6. Cost Management</w:t>
      </w:r>
    </w:p>
    <w:p>
      <w:r>
        <w:t>The program's total budget is $1,850,000. Full budget detail and the labor rate card are maintained in the Program Budget.</w:t>
      </w:r>
    </w:p>
    <w:p>
      <w:pPr>
        <w:pStyle w:val="Heading2"/>
      </w:pPr>
      <w:r>
        <w:t>7. Quality Management</w:t>
      </w:r>
    </w:p>
    <w:p>
      <w:r>
        <w:t>Quality is enforced through the program's Definition of Ready and Definition of Done — no story enters a sprint without meeting the DoR, and no story is marked complete without meeting the DoD, which includes a clinical workflow sign-off for stories touching scheduling, visit launch, or provider notes handoff.</w:t>
      </w:r>
    </w:p>
    <w:p>
      <w:pPr>
        <w:pStyle w:val="Heading2"/>
      </w:pPr>
      <w:r>
        <w:t>8. Resource Management</w:t>
      </w:r>
    </w:p>
    <w:p>
      <w:r>
        <w:t>The delivery team is organized into two Scrum teams (Falcon and Anchor) plus program-level roles. Full roster and rates are maintained in the Resource Plan.</w:t>
      </w:r>
    </w:p>
    <w:p>
      <w:pPr>
        <w:pStyle w:val="Heading2"/>
      </w:pPr>
      <w:r>
        <w:t>9. Communications Management</w:t>
      </w:r>
    </w:p>
    <w:p>
      <w:r>
        <w:t>Standing ceremonies (Daily Standup, Sprint Planning, Sprint Review, Retrospective, Scrum-of-Scrums) and their cadence are defined in the Team Charter.</w:t>
      </w:r>
    </w:p>
    <w:p>
      <w:pPr>
        <w:pStyle w:val="Heading2"/>
      </w:pPr>
      <w:r>
        <w:t>10. Risk Management</w:t>
      </w:r>
    </w:p>
    <w:p>
      <w:r>
        <w:t>All risks, assumptions, issues, dependencies, and decisions are tracked in a single RAIDD Log.</w:t>
      </w:r>
    </w:p>
    <w:p>
      <w:pPr>
        <w:pStyle w:val="Heading2"/>
      </w:pPr>
      <w:r>
        <w:t>11. Vendor Management</w:t>
      </w:r>
    </w:p>
    <w:p>
      <w:r>
        <w:t>Legacy vendor offboarding and any new vendor SOW governance are managed per the Vendor Management Plan, Vendor SOW Scorecard, and Vendor Legacy Offboarding plan.</w:t>
      </w:r>
    </w:p>
    <w:p>
      <w:pPr>
        <w:pStyle w:val="Heading2"/>
      </w:pPr>
      <w:r>
        <w:t>12. Stakeholder Engagement</w:t>
      </w:r>
    </w:p>
    <w:p>
      <w:r>
        <w:t>Key stakeholders are engaged per the cadence established at Program Kickoff. Clinical and compliance stakeholders hold review authority over specific categories of story.</w:t>
      </w:r>
    </w:p>
    <w:p>
      <w:pPr>
        <w:pStyle w:val="Heading2"/>
      </w:pPr>
      <w:r>
        <w:t>13. Change Management</w:t>
      </w:r>
    </w:p>
    <w:p>
      <w:r>
        <w:t>Formal changes to release-level scope, schedule, or cost commitments are logged in the Change Control Log, filterable by category, with a full detail page per change request.</w:t>
      </w:r>
    </w:p>
    <w:p>
      <w:pPr>
        <w:pStyle w:val="Heading2"/>
      </w:pPr>
      <w:r>
        <w:t>14. Governance &amp; Decision Authority</w:t>
      </w:r>
    </w:p>
    <w:p>
      <w:r>
        <w:t>Full decision-rights tiering, escalation thresholds, and the Steering Committee roster are defined in the Program Governance Model.</w:t>
      </w:r>
    </w:p>
    <w:p>
      <w:pPr>
        <w:pStyle w:val="Heading2"/>
      </w:pPr>
      <w:r>
        <w:t>15. Metrics &amp; Performance Monitoring</w:t>
      </w:r>
    </w:p>
    <w:p>
      <w:r>
        <w:t>Program health is monitored via velocity, sprint burndown, and Definition of Done compliance.</w:t>
      </w:r>
    </w:p>
    <w:p>
      <w:pPr>
        <w:pStyle w:val="Heading2"/>
      </w:pPr>
      <w:r>
        <w:t>16. Lessons Learned &amp; Continuous Improvement</w:t>
      </w:r>
    </w:p>
    <w:p>
      <w:r>
        <w:t>Continuous improvement happens primarily through sprint Retrospectives. Program-level lessons are additionally captured in the Program Closeout report.</w:t>
      </w:r>
    </w:p>
    <w:p>
      <w:pPr>
        <w:pStyle w:val="Heading2"/>
      </w:pPr>
      <w:r>
        <w:t>17. Assumptions, Constraints &amp; Dependencies</w:t>
      </w:r>
    </w:p>
    <w:p>
      <w:r>
        <w:t>The CareLink Classic vendor end-of-life timeline is fixed. Both Scrum teams remain staffed at planned allocation through both releases. Clinical and compliance review capacity is available within the sprint cadence.</w:t>
      </w:r>
    </w:p>
    <w:p>
      <w:pPr>
        <w:pStyle w:val="Heading2"/>
      </w:pPr>
      <w:r>
        <w:t>18. Baselines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Baseline</w:t>
            </w:r>
          </w:p>
        </w:tc>
        <w:tc>
          <w:tcPr>
            <w:tcW w:type="dxa" w:w="2880"/>
          </w:tcPr>
          <w:p>
            <w:r>
              <w:t>Current Value</w:t>
            </w:r>
          </w:p>
        </w:tc>
        <w:tc>
          <w:tcPr>
            <w:tcW w:type="dxa" w:w="2880"/>
          </w:tcPr>
          <w:p>
            <w:r>
              <w:t>Reference</w:t>
            </w:r>
          </w:p>
        </w:tc>
      </w:tr>
      <w:tr>
        <w:tc>
          <w:tcPr>
            <w:tcW w:type="dxa" w:w="2880"/>
          </w:tcPr>
          <w:p>
            <w:r>
              <w:t>Schedule</w:t>
            </w:r>
          </w:p>
        </w:tc>
        <w:tc>
          <w:tcPr>
            <w:tcW w:type="dxa" w:w="2880"/>
          </w:tcPr>
          <w:p>
            <w:r>
              <w:t>18-month fixed vendor end-of-life window; 2-week sprints across 2 releases</w:t>
            </w:r>
          </w:p>
        </w:tc>
        <w:tc>
          <w:tcPr>
            <w:tcW w:type="dxa" w:w="2880"/>
          </w:tcPr>
          <w:p>
            <w:r>
              <w:t>Release Schedule</w:t>
            </w:r>
          </w:p>
        </w:tc>
      </w:tr>
      <w:tr>
        <w:tc>
          <w:tcPr>
            <w:tcW w:type="dxa" w:w="2880"/>
          </w:tcPr>
          <w:p>
            <w:r>
              <w:t>Cost</w:t>
            </w:r>
          </w:p>
        </w:tc>
        <w:tc>
          <w:tcPr>
            <w:tcW w:type="dxa" w:w="2880"/>
          </w:tcPr>
          <w:p>
            <w:r>
              <w:t>$1,850,000</w:t>
            </w:r>
          </w:p>
        </w:tc>
        <w:tc>
          <w:tcPr>
            <w:tcW w:type="dxa" w:w="2880"/>
          </w:tcPr>
          <w:p>
            <w:r>
              <w:t>Program Budget</w:t>
            </w:r>
          </w:p>
        </w:tc>
      </w:tr>
      <w:tr>
        <w:tc>
          <w:tcPr>
            <w:tcW w:type="dxa" w:w="2880"/>
          </w:tcPr>
          <w:p>
            <w:r>
              <w:t>Staffing</w:t>
            </w:r>
          </w:p>
        </w:tc>
        <w:tc>
          <w:tcPr>
            <w:tcW w:type="dxa" w:w="2880"/>
          </w:tcPr>
          <w:p>
            <w:r>
              <w:t>Two Scrum teams (Falcon, Anchor) plus program-level roles</w:t>
            </w:r>
          </w:p>
        </w:tc>
        <w:tc>
          <w:tcPr>
            <w:tcW w:type="dxa" w:w="2880"/>
          </w:tcPr>
          <w:p>
            <w:r>
              <w:t>Resource Plan</w:t>
            </w:r>
          </w:p>
        </w:tc>
      </w:tr>
      <w:tr>
        <w:tc>
          <w:tcPr>
            <w:tcW w:type="dxa" w:w="2880"/>
          </w:tcPr>
          <w:p>
            <w:r>
              <w:t>Quality</w:t>
            </w:r>
          </w:p>
        </w:tc>
        <w:tc>
          <w:tcPr>
            <w:tcW w:type="dxa" w:w="2880"/>
          </w:tcPr>
          <w:p>
            <w:r>
              <w:t>Definition of Ready / Definition of Done, including clinical sign-off gate</w:t>
            </w:r>
          </w:p>
        </w:tc>
        <w:tc>
          <w:tcPr>
            <w:tcW w:type="dxa" w:w="2880"/>
          </w:tcPr>
          <w:p>
            <w:r>
              <w:t>Definition of Ready &amp; Done</w:t>
            </w:r>
          </w:p>
        </w:tc>
      </w:tr>
    </w:tbl>
    <w:p>
      <w:pPr>
        <w:pStyle w:val="Heading2"/>
      </w:pPr>
      <w:r>
        <w:t>19. Approval</w:t>
      </w:r>
    </w:p>
    <w:p>
      <w:r>
        <w:t>This Program Management Plan is approved for use across the MedConnect Mobile program.</w:t>
      </w:r>
    </w:p>
    <w:p>
      <w:r>
        <w:t>____________________________</w:t>
      </w:r>
    </w:p>
    <w:p>
      <w:r>
        <w:t>M. Delacroix, Executive Sponsor (VP, Digital Health)</w:t>
      </w:r>
    </w:p>
    <w:p>
      <w:r>
        <w:t>____________________________</w:t>
      </w:r>
    </w:p>
    <w:p>
      <w:r>
        <w:t>C. Tyrrell, Product Owner &amp; Agile Delivery Lead</w:t>
      </w:r>
    </w:p>
    <w:p>
      <w:r>
        <w:rPr>
          <w:i/>
        </w:rPr>
        <w:t>Illustrative program data — created to demonstrate Agile/Scrum program management practice, not a real client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