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0"/>
          <w:szCs w:val="30"/>
        </w:rPr>
        <w:t xml:space="preserve">Team Resource Plan</w:t>
      </w:r>
    </w:p>
    <w:p>
      <w:pPr>
        <w:spacing w:after="240"/>
      </w:pPr>
      <w:r>
        <w:rPr>
          <w:i/>
          <w:iCs/>
          <w:color w:val="5B6472"/>
          <w:sz w:val="20"/>
          <w:szCs w:val="20"/>
        </w:rPr>
        <w:t xml:space="preserve">MedConnect Mobile · Agile/Scrum Program Suite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Program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MedConnect Mobile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Duration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18.5 weeks — Jan 5, 2026 to May 15, 2026 (Closeout)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Delivery Lead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C. Tyrrell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Named Team Members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13 (11 onshore, 2 offshore)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Total Reconciled Delivery Labor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$1,362,000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1. Purpose</w:t>
      </w:r>
    </w:p>
    <w:p>
      <w:pPr>
        <w:spacing w:after="240"/>
      </w:pPr>
      <w:r>
        <w:rPr>
          <w:sz w:val="20"/>
          <w:szCs w:val="20"/>
        </w:rPr>
        <w:t xml:space="preserve">This Resource Plan names the full MedConnect Mobile delivery roster across Teams Falcon and Anchor, showing FTE allocation, location, blended hourly rate, and program cost — reconciled line-for-line to the Internal Labor entries in the Program Budget.</w:t>
      </w: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2. Delivery Leadership &amp; Scrum Masters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rPr>
          <w:tblHeader/>
        </w:trPr>
        <w:tc>
          <w:tcPr>
            <w:tcW w:type="dxa" w:w="1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7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1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16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</w:t>
            </w:r>
          </w:p>
        </w:tc>
        <w:tc>
          <w:tcPr>
            <w:tcW w:type="dxa" w:w="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Cost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C. Tyrrell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Product Owner / Agile Delivery Lead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$170.27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$126,000</w:t>
            </w:r>
          </w:p>
        </w:tc>
      </w:tr>
      <w:tr>
        <w:tc>
          <w:tcPr>
            <w:tcW w:type="dxa" w:w="15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J. Marsh</w:t>
            </w:r>
          </w:p>
        </w:tc>
        <w:tc>
          <w:tcPr>
            <w:tcW w:type="dxa" w:w="28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Scrum Master — Falcon</w:t>
            </w:r>
          </w:p>
        </w:tc>
        <w:tc>
          <w:tcPr>
            <w:tcW w:type="dxa" w:w="13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$114.86</w:t>
            </w:r>
          </w:p>
        </w:tc>
        <w:tc>
          <w:tcPr>
            <w:tcW w:type="dxa" w:w="116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$85,000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R. Okafor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Scrum Master — Anchor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$112.16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$83,000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c>
          <w:tcPr>
            <w:tcW w:type="dxa" w:w="15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Subtotal (PO + Scrum Masters)</w:t>
            </w:r>
          </w:p>
        </w:tc>
        <w:tc>
          <w:tcPr>
            <w:tcW w:type="dxa" w:w="28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$294,000</w:t>
            </w:r>
          </w:p>
        </w:tc>
      </w:tr>
    </w:tbl>
    <w:p>
      <w:pPr>
        <w:spacing w:after="240"/>
      </w:pP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3. Team Falcon — Mobile (5 FTE)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rPr>
          <w:tblHeader/>
        </w:trPr>
        <w:tc>
          <w:tcPr>
            <w:tcW w:type="dxa" w:w="1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7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1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16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</w:t>
            </w:r>
          </w:p>
        </w:tc>
        <w:tc>
          <w:tcPr>
            <w:tcW w:type="dxa" w:w="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Cost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D. Whitfield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Engineering Lead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$240.54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$178,000</w:t>
            </w:r>
          </w:p>
        </w:tc>
      </w:tr>
      <w:tr>
        <w:tc>
          <w:tcPr>
            <w:tcW w:type="dxa" w:w="15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K. Alvarez</w:t>
            </w:r>
          </w:p>
        </w:tc>
        <w:tc>
          <w:tcPr>
            <w:tcW w:type="dxa" w:w="28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iOS Developer</w:t>
            </w:r>
          </w:p>
        </w:tc>
        <w:tc>
          <w:tcPr>
            <w:tcW w:type="dxa" w:w="13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$151.35</w:t>
            </w:r>
          </w:p>
        </w:tc>
        <w:tc>
          <w:tcPr>
            <w:tcW w:type="dxa" w:w="116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$112,000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S. Park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Android Developer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$151.35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$112,000</w:t>
            </w:r>
          </w:p>
        </w:tc>
      </w:tr>
      <w:tr>
        <w:tc>
          <w:tcPr>
            <w:tcW w:type="dxa" w:w="15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T. Nguyen</w:t>
            </w:r>
          </w:p>
        </w:tc>
        <w:tc>
          <w:tcPr>
            <w:tcW w:type="dxa" w:w="28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Backend Developer</w:t>
            </w:r>
          </w:p>
        </w:tc>
        <w:tc>
          <w:tcPr>
            <w:tcW w:type="dxa" w:w="13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50%</w:t>
            </w:r>
          </w:p>
        </w:tc>
        <w:tc>
          <w:tcPr>
            <w:tcW w:type="dxa" w:w="11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$183.78</w:t>
            </w:r>
          </w:p>
        </w:tc>
        <w:tc>
          <w:tcPr>
            <w:tcW w:type="dxa" w:w="116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370 hrs</w:t>
            </w:r>
          </w:p>
        </w:tc>
        <w:tc>
          <w:tcPr>
            <w:tcW w:type="dxa" w:w="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$68,000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E. Marchetti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QA Lead — Falcon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50%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$113.51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370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$42,000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c>
          <w:tcPr>
            <w:tcW w:type="dxa" w:w="15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Subtotal — Team Falcon (5 FTE)</w:t>
            </w:r>
          </w:p>
        </w:tc>
        <w:tc>
          <w:tcPr>
            <w:tcW w:type="dxa" w:w="28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$512,000</w:t>
            </w:r>
          </w:p>
        </w:tc>
      </w:tr>
    </w:tbl>
    <w:p>
      <w:pPr>
        <w:spacing w:after="240"/>
      </w:pP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4. Team Anchor — Platform (5 FTE)</w:t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Anchor is the program's only team with offshore capacity — both manual QA analysts are based in India.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rPr>
          <w:tblHeader/>
        </w:trPr>
        <w:tc>
          <w:tcPr>
            <w:tcW w:type="dxa" w:w="1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7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1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16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</w:t>
            </w:r>
          </w:p>
        </w:tc>
        <w:tc>
          <w:tcPr>
            <w:tcW w:type="dxa" w:w="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Cost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A. Singh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Engineering Lead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$267.57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$198,000</w:t>
            </w:r>
          </w:p>
        </w:tc>
      </w:tr>
      <w:tr>
        <w:tc>
          <w:tcPr>
            <w:tcW w:type="dxa" w:w="15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R. Kim</w:t>
            </w:r>
          </w:p>
        </w:tc>
        <w:tc>
          <w:tcPr>
            <w:tcW w:type="dxa" w:w="28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Backend Developer</w:t>
            </w:r>
          </w:p>
        </w:tc>
        <w:tc>
          <w:tcPr>
            <w:tcW w:type="dxa" w:w="13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$218.92</w:t>
            </w:r>
          </w:p>
        </w:tc>
        <w:tc>
          <w:tcPr>
            <w:tcW w:type="dxa" w:w="116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$162,000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N. Osei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QA Lead (Onshore)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Onshore (US)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$154.05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$114,000</w:t>
            </w:r>
          </w:p>
        </w:tc>
      </w:tr>
      <w:tr>
        <w:tc>
          <w:tcPr>
            <w:tcW w:type="dxa" w:w="15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M. Chen</w:t>
            </w:r>
          </w:p>
        </w:tc>
        <w:tc>
          <w:tcPr>
            <w:tcW w:type="dxa" w:w="28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QA Analyst (Manual)</w:t>
            </w:r>
          </w:p>
        </w:tc>
        <w:tc>
          <w:tcPr>
            <w:tcW w:type="dxa" w:w="13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Offshore (India)</w:t>
            </w:r>
          </w:p>
        </w:tc>
        <w:tc>
          <w:tcPr>
            <w:tcW w:type="dxa" w:w="70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$55.41</w:t>
            </w:r>
          </w:p>
        </w:tc>
        <w:tc>
          <w:tcPr>
            <w:tcW w:type="dxa" w:w="116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$41,000</w:t>
            </w:r>
          </w:p>
        </w:tc>
      </w:tr>
      <w:tr>
        <w:tc>
          <w:tcPr>
            <w:tcW w:type="dxa" w:w="15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P. Kumar</w:t>
            </w:r>
          </w:p>
        </w:tc>
        <w:tc>
          <w:tcPr>
            <w:tcW w:type="dxa" w:w="28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QA Analyst (Manual)</w:t>
            </w:r>
          </w:p>
        </w:tc>
        <w:tc>
          <w:tcPr>
            <w:tcW w:type="dxa" w:w="13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Offshore (India)</w:t>
            </w:r>
          </w:p>
        </w:tc>
        <w:tc>
          <w:tcPr>
            <w:tcW w:type="dxa" w:w="70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$55.41</w:t>
            </w:r>
          </w:p>
        </w:tc>
        <w:tc>
          <w:tcPr>
            <w:tcW w:type="dxa" w:w="116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hrs</w:t>
            </w:r>
          </w:p>
        </w:tc>
        <w:tc>
          <w:tcPr>
            <w:tcW w:type="dxa" w:w="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$41,000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300"/>
        <w:gridCol w:w="700"/>
        <w:gridCol w:w="1100"/>
        <w:gridCol w:w="1160"/>
        <w:gridCol w:w="800"/>
      </w:tblGrid>
      <w:tr>
        <w:tc>
          <w:tcPr>
            <w:tcW w:type="dxa" w:w="15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Subtotal — Team Anchor (5 FTE)</w:t>
            </w:r>
          </w:p>
        </w:tc>
        <w:tc>
          <w:tcPr>
            <w:tcW w:type="dxa" w:w="28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$556,000</w:t>
            </w:r>
          </w:p>
        </w:tc>
      </w:tr>
    </w:tbl>
    <w:p>
      <w:pPr>
        <w:spacing w:after="240"/>
      </w:pP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5. Reconciliation to Program Budget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800"/>
        <w:gridCol w:w="1800"/>
        <w:gridCol w:w="1800"/>
      </w:tblGrid>
      <w:tr>
        <w:trPr>
          <w:tblHeader/>
        </w:trPr>
        <w:tc>
          <w:tcPr>
            <w:tcW w:type="dxa" w:w="396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Budget Line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Resource Plan Total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 Budget Actual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396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 / Delivery Lead (C. Tyrrell)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$126,000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$126,000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396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Scrum Masters (2)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$168,000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$168,000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3960"/>
            <w:shd w:fill="FFFFFF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Team Falcon (5 FTE)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$512,000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$512,000</w:t>
            </w:r>
          </w:p>
        </w:tc>
        <w:tc>
          <w:tcPr>
            <w:tcW w:type="dxa" w:w="1800"/>
            <w:shd w:fill="FFFFFF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3960"/>
            <w:shd w:fill="FAFBFC" w:val="clear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Team Anchor (5 FTE)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$556,000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$556,000</w:t>
            </w:r>
          </w:p>
        </w:tc>
        <w:tc>
          <w:tcPr>
            <w:tcW w:type="dxa" w:w="1800"/>
            <w:shd w:fill="FAFBFC" w:val="clear"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$0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800"/>
        <w:gridCol w:w="1800"/>
        <w:gridCol w:w="1800"/>
      </w:tblGrid>
      <w:tr>
        <w:tc>
          <w:tcPr>
            <w:tcW w:type="dxa" w:w="3960"/>
            <w:shd w:fill="E3F5F4" w:val="clear"/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Total Reconciled Delivery Labor</w:t>
            </w:r>
          </w:p>
        </w:tc>
        <w:tc>
          <w:tcPr>
            <w:tcW w:type="dxa" w:w="1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$1,362,000</w:t>
            </w:r>
          </w:p>
        </w:tc>
        <w:tc>
          <w:tcPr>
            <w:tcW w:type="dxa" w:w="1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$1,362,000</w:t>
            </w:r>
          </w:p>
        </w:tc>
        <w:tc>
          <w:tcPr>
            <w:tcW w:type="dxa" w:w="1800"/>
            <w:shd w:fill="E3F5F4" w:val="clear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$0</w:t>
            </w:r>
          </w:p>
        </w:tc>
      </w:tr>
    </w:tbl>
    <w:p>
      <w:pPr>
        <w:spacing w:after="240"/>
      </w:pPr>
    </w:p>
    <w:p>
      <w:pPr>
        <w:spacing w:after="120"/>
      </w:pPr>
      <w:r>
        <w:rPr>
          <w:b/>
          <w:bCs/>
          <w:color w:val="12213B"/>
          <w:sz w:val="24"/>
          <w:szCs w:val="24"/>
        </w:rPr>
        <w:t xml:space="preserve">6. Notes</w:t>
      </w:r>
    </w:p>
    <w:p>
      <w:r>
        <w:rPr>
          <w:i/>
          <w:iCs/>
          <w:color w:val="5B6472"/>
          <w:sz w:val="18"/>
          <w:szCs w:val="18"/>
        </w:rPr>
        <w:t xml:space="preserve">Blended Hourly Rate is a fully loaded internal cost-recovery rate (salary, benefits, overhead allocation, and program margin), consistent with the Internal Labor lines in the Program Budget. Figures are illustrative for portfolio demonstration purposes.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2026-07-14T20:52:17.381Z</dcterms:created>
  <dcterms:modified xsi:type="dcterms:W3CDTF">2026-07-14T20:52:17.393Z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