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 standalone="yes"?><w:document mc:Ignorable="w14 w15 wp14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<w:body><w:p><w:pPr><w:spacing w:after="80"/></w:pPr><w:r><w:rPr><w:b/><w:bCs/><w:color w:val="5B3FA8"/><w:sz w:val="16"/><w:szCs w:val="16"/></w:rPr><w:t xml:space="preserve">12 · CEREMONIES</w:t></w:r></w:p><w:p><w:pPr><w:spacing w:after="120"/></w:pPr><w:r><w:rPr><w:b/><w:bCs/><w:color w:val="12213B"/><w:sz w:val="40"/><w:szCs w:val="40"/></w:rPr><w:t xml:space="preserve">Sprint Review / Demo Notes — Sprint 5</w:t></w:r></w:p><w:p><w:pPr><w:pBdr><w:bottom w:val="single" w:color="E3E6EB" w:sz="6"/></w:pBdr><w:spacing w:after="300"/></w:pPr><w:r><w:rPr><w:color w:val="5B6472"/><w:sz w:val="18"/><w:szCs w:val="18"/></w:rPr><w:t xml:space="preserve">Mar 27, 2026</w:t></w:r><w:r><w:rPr><w:color w:val="5B6472"/><w:sz w:val="18"/><w:szCs w:val="18"/></w:rPr><w:t xml:space="preserve">   |   </w:t></w:r><w:r><w:rPr><w:color w:val="5B6472"/><w:sz w:val="18"/><w:szCs w:val="18"/></w:rPr><w:t xml:space="preserve">Release 1 (MVP) launch sprint</w:t></w:r></w:p><w:p><w:pPr><w:pStyle w:val="Heading2"/><w:spacing w:after="120" w:before="300"/></w:pPr><w:r><w:rPr><w:b/><w:bCs/><w:color w:val="12213B"/><w:sz w:val="26"/><w:szCs w:val="26"/></w:rPr><w:t xml:space="preserve">Milestone</w:t></w:r></w:p><w:p><w:pPr><w:spacing w:after="140"/></w:pPr><w:r><w:rPr><w:b/><w:bCs/><w:i w:val="false"/><w:iCs w:val="false"/><w:sz w:val="21"/><w:szCs w:val="21"/></w:rPr><w:t xml:space="preserve">Release 1 (MVP) shipped to first patient cohort — March 27, 2026</w:t></w:r></w:p><w:p><w:pPr><w:pStyle w:val="Heading2"/><w:spacing w:after="120" w:before="300"/></w:pPr><w:r><w:rPr><w:b/><w:bCs/><w:color w:val="12213B"/><w:sz w:val="26"/><w:szCs w:val="26"/></w:rPr><w:t xml:space="preserve">Demonstrated This Sprint</w:t></w:r></w:p><w:tbl><w:tblPr><w:tblW w:type="dxa" w:w="9000"/><w:tblBorders><w:top w:val="single" w:color="auto" w:sz="4"/><w:left w:val="single" w:color="auto" w:sz="4"/><w:bottom w:val="single" w:color="auto" w:sz="4"/><w:right w:val="single" w:color="auto" w:sz="4"/><w:insideH w:val="single" w:color="auto" w:sz="4"/><w:insideV w:val="single" w:color="auto" w:sz="4"/></w:tblBorders></w:tblPr><w:tblGrid><w:gridCol w:w="3000"/><w:gridCol w:w="3000"/><w:gridCol w:w="3000"/></w:tblGrid><w:tr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Feature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Demoed By</w:t></w:r></w:p></w:tc><w:tc><w:tcPr><w:tcW w:type="dxa" w:w="3000"/><w:shd w:fill="12213B" w:val="clear"/><w:tcMar><w:top w:type="dxa" w:w="80"/><w:left w:type="dxa" w:w="100"/><w:bottom w:type="dxa" w:w="80"/><w:right w:type="dxa" w:w="100"/></w:tcMar></w:tcPr><w:p><w:r><w:rPr><w:b/><w:bCs/><w:color w:val="FFFFFF"/><w:sz w:val="19"/><w:szCs w:val="19"/></w:rPr><w:t xml:space="preserve">Result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Full patient flow: register → book → remind → join visit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K. Alvarez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Accepted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5-min reconnect grace window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S. Park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Accepted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Provider console: schedule + one-tap launch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A. Singh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Accepted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Pre-cutover data-integrity validation report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R. Okafor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Accepted, follow-up question</w:t></w:r></w:p></w:tc></w:tr><w:tr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Production monitoring dashboard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R. Kim</w:t></w:r></w:p></w:tc><w:tc><w:tcPr><w:tcW w:type="dxa" w:w="3000"/><w:tcMar><w:top w:type="dxa" w:w="80"/><w:left w:type="dxa" w:w="100"/><w:bottom w:type="dxa" w:w="80"/><w:right w:type="dxa" w:w="100"/></w:tcMar></w:tcPr><w:p><w:r><w:rPr><w:b w:val="false"/><w:bCs w:val="false"/><w:color w:val="1B2130"/><w:sz w:val="19"/><w:szCs w:val="19"/></w:rPr><w:t xml:space="preserve">Accepted</w:t></w:r></w:p></w:tc></w:tr></w:tbl><w:p><w:pPr><w:pStyle w:val="Heading2"/><w:spacing w:after="120" w:before="300"/></w:pPr><w:r><w:rPr><w:b/><w:bCs/><w:color w:val="12213B"/><w:sz w:val="26"/><w:szCs w:val="26"/></w:rPr><w:t xml:space="preserve">Stakeholder Feedback</w:t></w:r></w:p><0/><w:p><w:pPr><w:pStyle w:val="Heading2"/><w:spacing w:after="120" w:before="300"/></w:pPr><w:r><w:rPr><w:b/><w:bCs/><w:color w:val="12213B"/><w:sz w:val="26"/><w:szCs w:val="26"/></w:rPr><w:t xml:space="preserve">Go/No-Go Decision</w:t></w:r></w:p><w:p><w:pPr><w:spacing w:after="140"/></w:pPr><w:r><w:rPr><w:b/><w:bCs/><w:i w:val="false"/><w:iCs w:val="false"/><w:sz w:val="21"/><w:szCs w:val="21"/></w:rPr><w:t xml:space="preserve">Decision: GO. All acceptance criteria met, zero open P1/P2 defects, Compliance and Clinical sign-offs obtained. Approved by M. Delacroix.</w:t></w:r></w:p><w:sectPr><w:pgSz w:w="12240" w:h="15840" w:orient="portrait"/><w:pgMar w:top="1000" w:right="1000" w:bottom="1000" w:left="1000" w:header="708" w:footer="708" w:gutter="0"/><w:pgNumType/><w:docGrid w:linePitch="360"/></w:sectPr></w:body>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2026-07-13T21:52:41.359Z</dcterms:created>
  <dcterms:modified xsi:type="dcterms:W3CDTF">2026-07-13T21:52:41.359Z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