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80"/></w:pPr><w:r><w:rPr><w:b/><w:bCs/><w:color w:val="5B3FA8"/><w:sz w:val="16"/><w:szCs w:val="16"/></w:rPr><w:t xml:space="preserve">17 · METRICS &amp; REPORTING</w:t></w:r></w:p><w:p><w:pPr><w:spacing w:after="120"/></w:pPr><w:r><w:rPr><w:b/><w:bCs/><w:color w:val="12213B"/><w:sz w:val="40"/><w:szCs w:val="40"/></w:rPr><w:t xml:space="preserve">Sprint Status Report — Sprint 6</w:t></w:r></w:p><w:p><w:pPr><w:pBdr><w:bottom w:val="single" w:color="E3E6EB" w:sz="6"/></w:pBdr><w:spacing w:after="300"/></w:pPr><w:r><w:rPr><w:color w:val="5B6472"/><w:sz w:val="18"/><w:szCs w:val="18"/></w:rPr><w:t xml:space="preserve">Mar 30–Apr 10, 2026</w:t></w:r><w:r><w:rPr><w:color w:val="5B6472"/><w:sz w:val="18"/><w:szCs w:val="18"/></w:rPr><w:t xml:space="preserve">   |   </w:t></w:r><w:r><w:rPr><w:color w:val="5B6472"/><w:sz w:val="18"/><w:szCs w:val="18"/></w:rPr><w:t xml:space="preserve">Prepared by C. Tyrrell</w:t></w:r><w:r><w:rPr><w:color w:val="5B6472"/><w:sz w:val="18"/><w:szCs w:val="18"/></w:rPr><w:t xml:space="preserve">   |   </w:t></w:r><w:r><w:rPr><w:color w:val="5B6472"/><w:sz w:val="18"/><w:szCs w:val="18"/></w:rPr><w:t xml:space="preserve">Audience: Steering Committee</w:t></w:r></w:p><w:p><w:pPr><w:pStyle w:val="Heading2"/><w:spacing w:after="120" w:before="300"/></w:pPr><w:r><w:rPr><w:b/><w:bCs/><w:color w:val="12213B"/><w:sz w:val="26"/><w:szCs w:val="26"/></w:rPr><w:t xml:space="preserve">RAG Status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1800"/><w:gridCol w:w="1800"/><w:gridCol w:w="1800"/><w:gridCol w:w="1800"/><w:gridCol w:w="1800"/></w:tblGrid><w:tr><w:tc><w:tcPr><w:tcW w:type="dxa" w:w="18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Overall</w:t></w:r></w:p></w:tc><w:tc><w:tcPr><w:tcW w:type="dxa" w:w="18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Schedule</w:t></w:r></w:p></w:tc><w:tc><w:tcPr><w:tcW w:type="dxa" w:w="18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Scope</w:t></w:r></w:p></w:tc><w:tc><w:tcPr><w:tcW w:type="dxa" w:w="18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Budget</w:t></w:r></w:p></w:tc><w:tc><w:tcPr><w:tcW w:type="dxa" w:w="18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Quality</w:t></w:r></w:p></w:tc></w:tr><w:tr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Green</w:t></w:r></w:p></w:tc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Green</w:t></w:r></w:p></w:tc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Green</w:t></w:r></w:p></w:tc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Amber</w:t></w:r></w:p></w:tc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Green</w:t></w:r></w:p></w:tc></w:tr></w:tbl><w:p><w:pPr><w:pStyle w:val="Heading2"/><w:spacing w:after="120" w:before="300"/></w:pPr><w:r><w:rPr><w:b/><w:bCs/><w:color w:val="12213B"/><w:sz w:val="26"/><w:szCs w:val="26"/></w:rPr><w:t xml:space="preserve">Sprint Summary</w:t></w:r></w:p><w:p><w:pPr><w:spacing w:after="140"/></w:pPr><w:r><w:rPr><w:b w:val="false"/><w:bCs w:val="false"/><w:i w:val="false"/><w:iCs w:val="false"/><w:sz w:val="21"/><w:szCs w:val="21"/></w:rPr><w:t xml:space="preserve">Release 1 (MVP) live with pilot cohort since Sprint 5, zero critical defects. Sprint 6 delivered secure patient messaging and started refill request functionality, on pace for Release 2 in Sprint 8.</w:t></w:r></w:p><w:p><w:pPr><w:pStyle w:val="Heading2"/><w:spacing w:after="120" w:before="300"/></w:pPr><w:r><w:rPr><w:b/><w:bCs/><w:color w:val="12213B"/><w:sz w:val="26"/><w:szCs w:val="26"/></w:rPr><w:t xml:space="preserve">Accomplished This Sprint</w:t></w:r></w:p><0/><w:p><w:pPr><w:pStyle w:val="Heading2"/><w:spacing w:after="120" w:before="300"/></w:pPr><w:r><w:rPr><w:b/><w:bCs/><w:color w:val="12213B"/><w:sz w:val="26"/><w:szCs w:val="26"/></w:rPr><w:t xml:space="preserve">Planned Next Sprint (7)</w:t></w:r></w:p><0/><w:p><w:pPr><w:pStyle w:val="Heading2"/><w:spacing w:after="120" w:before="300"/></w:pPr><w:r><w:rPr><w:b/><w:bCs/><w:color w:val="12213B"/><w:sz w:val="26"/><w:szCs w:val="26"/></w:rPr><w:t xml:space="preserve">Risks &amp; Issues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4500"/><w:gridCol w:w="4500"/></w:tblGrid><w:tr><w:tc><w:tcPr><w:tcW w:type="dxa" w:w="45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Item</w:t></w:r></w:p></w:tc><w:tc><w:tcPr><w:tcW w:type="dxa" w:w="45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Rating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Full historical migration is largest remaining story — limited slack for data-quality issues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Medium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Budget run-rate slightly ahead of plan heading into Sprint 7–8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Medium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Provider feedback requesting intake pre-population (MCM-155) — new candidate, not committed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Low</w:t></w:r></w:p></w:tc></w:tr></w:tbl><w:p><w:pPr><w:pStyle w:val="Heading2"/><w:spacing w:after="120" w:before="300"/></w:pPr><w:r><w:rPr><w:b/><w:bCs/><w:color w:val="12213B"/><w:sz w:val="26"/><w:szCs w:val="26"/></w:rPr><w:t xml:space="preserve">Budget Health</w:t></w:r></w:p><w:p><w:pPr><w:spacing w:after="140"/></w:pPr><w:r><w:rPr><w:b w:val="false"/><w:bCs w:val="false"/><w:i w:val="false"/><w:iCs w:val="false"/><w:sz w:val="21"/><w:szCs w:val="21"/></w:rPr><w:t xml:space="preserve">Program budget $1.85M; spent to date $1.42M (76.8%) against 77.8% of duration elapsed — on track.</w:t></w:r></w:p><w:p><w:pPr><w:pStyle w:val="Heading2"/><w:spacing w:after="120" w:before="300"/></w:pPr><w:r><w:rPr><w:b/><w:bCs/><w:color w:val="12213B"/><w:sz w:val="26"/><w:szCs w:val="26"/></w:rPr><w:t xml:space="preserve">Upcoming Milestones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000"/><w:gridCol w:w="3000"/><w:gridCol w:w="3000"/></w:tblGrid><w:tr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Milestone</w:t></w:r></w:p></w:tc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Target</w:t></w:r></w:p></w:tc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Status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Full historical migration complete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Sprint 7 (Apr 24)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On track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Pre-cutover compliance sign-off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Sprint 7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Scheduled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Release 2 go-live / decommission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Sprint 8 (May 8)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On track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Program closeout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Post-Sprint 8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Planned</w:t></w:r></w:p></w:tc></w:tr></w:tbl><w:sectPr><w:pgSz w:w="12240" w:h="15840" w:orient="portrait"/><w:pgMar w:top="1000" w:right="1000" w:bottom="1000" w:left="100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2026-07-13T21:52:41.442Z</dcterms:created>
  <dcterms:modified xsi:type="dcterms:W3CDTF">2026-07-13T21:52:41.442Z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