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02 · SPRINT 0 · PROGRAM SETUP</w:t></w:r></w:p><w:p><w:pPr><w:spacing w:after="120"/></w:pPr><w:r><w:rPr><w:b/><w:bCs/><w:color w:val="12213B"/><w:sz w:val="40"/><w:szCs w:val="40"/></w:rPr><w:t xml:space="preserve">Agile Team Charter &amp; Working Agreement</w:t></w:r></w:p><w:p><w:pPr><w:pBdr><w:bottom w:val="single" w:color="E3E6EB" w:sz="6"/></w:pBdr><w:spacing w:after="300"/></w:pPr><w:r><w:rPr><w:color w:val="5B6472"/><w:sz w:val="18"/><w:szCs w:val="18"/></w:rPr><w:t xml:space="preserve">MedConnect Mobile</w:t></w:r></w:p><w:p><w:pPr><w:pStyle w:val="Heading2"/><w:spacing w:after="120" w:before="300"/></w:pPr><w:r><w:rPr><w:b/><w:bCs/><w:color w:val="12213B"/><w:sz w:val="26"/><w:szCs w:val="26"/></w:rPr><w:t xml:space="preserve">Roster &amp; Roles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000"/><w:gridCol w:w="3000"/><w:gridCol w:w="3000"/></w:tblGrid><w:tr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Role</w:t></w:r></w:p></w:tc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Name</w:t></w:r></w:p></w:tc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Notes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Product Owner &amp; Agile Delivery Lead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C. Tyrrell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Program-level backlog owner, Scrum-of-Scrums facilitator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Scrum Master, Team Falcon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J. Marsh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Mobile App team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Scrum Master, Team Anchor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R. Okafor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Platform &amp; Integration team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Engineering Lead, Falcon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D. Whitfield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iOS/Android native app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Engineering Lead, Anchor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A. Singh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APIs, EHR integration, migration, provider console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Executive Sponsor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M. Delacroix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VP, Digital Health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Clinical Stakeholder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Dr. L. Nguyen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CMIO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Compliance &amp; Security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T. Brannigan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Director, Info Security &amp; Compliance</w:t></w:r></w:p></w:tc></w:tr></w:tbl><w:p><w:pPr><w:pStyle w:val="Heading2"/><w:spacing w:after="120" w:before="300"/></w:pPr><w:r><w:rPr><w:b/><w:bCs/><w:color w:val="12213B"/><w:sz w:val="26"/><w:szCs w:val="26"/></w:rPr><w:t xml:space="preserve">Ceremony Cadence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000"/><w:gridCol w:w="3000"/><w:gridCol w:w="3000"/></w:tblGrid><w:tr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Ceremony</w:t></w:r></w:p></w:tc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Frequency</w:t></w:r></w:p></w:tc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Length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Daily Standup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Daily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15 min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Scrum-of-Scrums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2x/week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15 min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Backlog Refinement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Weekly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60 min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Sprint Planning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Day 1 of sprint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90 min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Sprint Review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Last day of sprint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45 min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Sprint Retrospective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Last day of sprint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45 min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Steering Committee Update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Monthly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30 min</w:t></w:r></w:p></w:tc></w:tr></w:tbl><w:p><w:pPr><w:pStyle w:val="Heading2"/><w:spacing w:after="120" w:before="300"/></w:pPr><w:r><w:rPr><w:b/><w:bCs/><w:color w:val="12213B"/><w:sz w:val="26"/><w:szCs w:val="26"/></w:rPr><w:t xml:space="preserve">Working Norms</w:t></w:r></w:p><0/><w:p><w:pPr><w:pStyle w:val="Heading2"/><w:spacing w:after="120" w:before="300"/></w:pPr><w:r><w:rPr><w:b/><w:bCs/><w:color w:val="12213B"/><w:sz w:val="26"/><w:szCs w:val="26"/></w:rPr><w:t xml:space="preserve">Escalation Path</w:t></w:r></w:p><w:p><w:pPr><w:spacing w:after="140"/></w:pPr><w:r><w:rPr><w:b w:val="false"/><w:bCs w:val="false"/><w:i w:val="false"/><w:iCs w:val="false"/><w:sz w:val="21"/><w:szCs w:val="21"/></w:rPr><w:t xml:space="preserve">Team Scrum Master → Scrum-of-Scrums (cross-team) → C. Tyrrell escalates to Sponsor/Clinical/Compliance → Steering Committee decision if scope/budget/timeline affected.</w:t></w:r></w:p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2026-07-13T21:52:41.011Z</dcterms:created>
  <dcterms:modified xsi:type="dcterms:W3CDTF">2026-07-13T21:52:41.011Z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