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b/>
          <w:bCs/>
          <w:color w:val="5B3FA8"/>
          <w:sz w:val="16"/>
          <w:szCs w:val="16"/>
        </w:rPr>
        <w:t xml:space="preserve">27 · VENDOR MANAGEMENT</w:t>
      </w:r>
    </w:p>
    <w:p>
      <w:pPr>
        <w:spacing w:after="120"/>
      </w:pPr>
      <w:r>
        <w:rPr>
          <w:b/>
          <w:bCs/>
          <w:color w:val="12213B"/>
          <w:sz w:val="40"/>
          <w:szCs w:val="40"/>
        </w:rPr>
        <w:t xml:space="preserve">Vendor SOW Summary &amp; Performance Scorecard — PulseConnect</w:t>
      </w:r>
    </w:p>
    <w:p>
      <w:pPr>
        <w:pBdr>
          <w:bottom w:val="single" w:color="E3E6EB" w:sz="6"/>
        </w:pBdr>
        <w:spacing w:after="300"/>
      </w:pPr>
      <w:r>
        <w:rPr>
          <w:color w:val="5B6472"/>
          <w:sz w:val="18"/>
          <w:szCs w:val="18"/>
        </w:rPr>
        <w:t xml:space="preserve">MedConnect Mobile</w:t>
      </w:r>
    </w:p>
    <w:p>
      <w:pPr>
        <w:pStyle w:val="Heading2"/>
        <w:spacing w:after="120" w:before="300"/>
      </w:pPr>
      <w:r>
        <w:rPr>
          <w:b/>
          <w:bCs/>
          <w:color w:val="12213B"/>
          <w:sz w:val="26"/>
          <w:szCs w:val="26"/>
        </w:rPr>
        <w:t xml:space="preserve">SOW Summary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500"/>
      </w:tblGrid>
      <w:tr>
        <w:tc>
          <w:tcPr>
            <w:tcW w:type="dxa" w:w="4500"/>
            <w:shd w:fill="12213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Term</w:t>
            </w:r>
          </w:p>
        </w:tc>
        <w:tc>
          <w:tcPr>
            <w:tcW w:type="dxa" w:w="4500"/>
            <w:shd w:fill="12213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Detail</w:t>
            </w:r>
          </w:p>
        </w:tc>
      </w:tr>
      <w:tr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Vendor</w:t>
            </w:r>
          </w:p>
        </w:tc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PulseConnect, Inc. — HIPAA-compliant video visit SDK</w:t>
            </w:r>
          </w:p>
        </w:tc>
      </w:tr>
      <w:tr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Contract Type</w:t>
            </w:r>
          </w:p>
        </w:tc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Annual SaaS license + support SLA, auto-renewing</w:t>
            </w:r>
          </w:p>
        </w:tc>
      </w:tr>
      <w:tr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Annual Cost</w:t>
            </w:r>
          </w:p>
        </w:tc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$210,000</w:t>
            </w:r>
          </w:p>
        </w:tc>
      </w:tr>
      <w:tr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BAA Status</w:t>
            </w:r>
          </w:p>
        </w:tc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Executed pre-program; confirmed in force at Kickoff</w:t>
            </w:r>
          </w:p>
        </w:tc>
      </w:tr>
      <w:tr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Support SLA</w:t>
            </w:r>
          </w:p>
        </w:tc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4-hr P1 response, 1-business-day P2/P3, 99.9% uptime</w:t>
            </w:r>
          </w:p>
        </w:tc>
      </w:tr>
      <w:tr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Technical POC</w:t>
            </w:r>
          </w:p>
        </w:tc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A. Singh (ACME)</w:t>
            </w:r>
          </w:p>
        </w:tc>
      </w:tr>
    </w:tbl>
    <w:p>
      <w:pPr>
        <w:pStyle w:val="Heading2"/>
        <w:spacing w:after="120" w:before="300"/>
      </w:pPr>
      <w:r>
        <w:rPr>
          <w:b/>
          <w:bCs/>
          <w:color w:val="12213B"/>
          <w:sz w:val="26"/>
          <w:szCs w:val="26"/>
        </w:rPr>
        <w:t xml:space="preserve">Performance Scorecard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50"/>
        <w:gridCol w:w="2250"/>
        <w:gridCol w:w="2250"/>
        <w:gridCol w:w="2250"/>
      </w:tblGrid>
      <w:tr>
        <w:tc>
          <w:tcPr>
            <w:tcW w:type="dxa" w:w="2250"/>
            <w:shd w:fill="12213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Metric</w:t>
            </w:r>
          </w:p>
        </w:tc>
        <w:tc>
          <w:tcPr>
            <w:tcW w:type="dxa" w:w="2250"/>
            <w:shd w:fill="12213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Target</w:t>
            </w:r>
          </w:p>
        </w:tc>
        <w:tc>
          <w:tcPr>
            <w:tcW w:type="dxa" w:w="2250"/>
            <w:shd w:fill="12213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Actual</w:t>
            </w:r>
          </w:p>
        </w:tc>
        <w:tc>
          <w:tcPr>
            <w:tcW w:type="dxa" w:w="2250"/>
            <w:shd w:fill="12213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Status</w:t>
            </w:r>
          </w:p>
        </w:tc>
      </w:tr>
      <w:tr>
        <w:tc>
          <w:tcPr>
            <w:tcW w:type="dxa" w:w="225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P1 response time</w:t>
            </w:r>
          </w:p>
        </w:tc>
        <w:tc>
          <w:tcPr>
            <w:tcW w:type="dxa" w:w="225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≤ 4 hrs</w:t>
            </w:r>
          </w:p>
        </w:tc>
        <w:tc>
          <w:tcPr>
            <w:tcW w:type="dxa" w:w="225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2.1 hrs avg</w:t>
            </w:r>
          </w:p>
        </w:tc>
        <w:tc>
          <w:tcPr>
            <w:tcW w:type="dxa" w:w="225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Met</w:t>
            </w:r>
          </w:p>
        </w:tc>
      </w:tr>
      <w:tr>
        <w:tc>
          <w:tcPr>
            <w:tcW w:type="dxa" w:w="225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Uptime</w:t>
            </w:r>
          </w:p>
        </w:tc>
        <w:tc>
          <w:tcPr>
            <w:tcW w:type="dxa" w:w="225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≥ 99.9%</w:t>
            </w:r>
          </w:p>
        </w:tc>
        <w:tc>
          <w:tcPr>
            <w:tcW w:type="dxa" w:w="225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99.94%</w:t>
            </w:r>
          </w:p>
        </w:tc>
        <w:tc>
          <w:tcPr>
            <w:tcW w:type="dxa" w:w="225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Met</w:t>
            </w:r>
          </w:p>
        </w:tc>
      </w:tr>
      <w:tr>
        <w:tc>
          <w:tcPr>
            <w:tcW w:type="dxa" w:w="225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Screen-share entitlement turnaround</w:t>
            </w:r>
          </w:p>
        </w:tc>
        <w:tc>
          <w:tcPr>
            <w:tcW w:type="dxa" w:w="225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≤ 5 business days</w:t>
            </w:r>
          </w:p>
        </w:tc>
        <w:tc>
          <w:tcPr>
            <w:tcW w:type="dxa" w:w="225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7 business days</w:t>
            </w:r>
          </w:p>
        </w:tc>
        <w:tc>
          <w:tcPr>
            <w:tcW w:type="dxa" w:w="225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Watch</w:t>
            </w:r>
          </w:p>
        </w:tc>
      </w:tr>
      <w:tr>
        <w:tc>
          <w:tcPr>
            <w:tcW w:type="dxa" w:w="225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BAA/compliance currency</w:t>
            </w:r>
          </w:p>
        </w:tc>
        <w:tc>
          <w:tcPr>
            <w:tcW w:type="dxa" w:w="225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Current at all times</w:t>
            </w:r>
          </w:p>
        </w:tc>
        <w:tc>
          <w:tcPr>
            <w:tcW w:type="dxa" w:w="225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Current</w:t>
            </w:r>
          </w:p>
        </w:tc>
        <w:tc>
          <w:tcPr>
            <w:tcW w:type="dxa" w:w="225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Met</w:t>
            </w:r>
          </w:p>
        </w:tc>
      </w:tr>
    </w:tbl>
    <w:p>
      <w:pPr>
        <w:pStyle w:val="Heading2"/>
        <w:spacing w:after="120" w:before="300"/>
      </w:pPr>
      <w:r>
        <w:rPr>
          <w:b/>
          <w:bCs/>
          <w:color w:val="12213B"/>
          <w:sz w:val="26"/>
          <w:szCs w:val="26"/>
        </w:rPr>
        <w:t xml:space="preserve">Renewal Recommendation</w:t>
      </w:r>
    </w:p>
    <w:p>
      <w:pPr>
        <w:spacing w:after="14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Recommend renewal at current terms — one minor, non-recurring SLA miss against otherwise strong reliability throughout both launch windows.</w:t>
      </w:r>
    </w:p>
    <w:sectPr>
      <w:pgSz w:w="12240" w:h="15840" w:orient="portrait"/>
      <w:pgMar w:top="1000" w:right="1000" w:bottom="10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2026-07-13T21:52:41.602Z</dcterms:created>
  <dcterms:modified xsi:type="dcterms:W3CDTF">2026-07-13T21:52:41.602Z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