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BRD-01: Claims &amp; Prior Authorization AI</w:t>
      </w:r>
    </w:p>
    <w:p>
      <w:r>
        <w:rPr>
          <w:color w:val="646464"/>
          <w:sz w:val="22"/>
        </w:rPr>
        <w:t>Business Requirements Document</w:t>
      </w:r>
    </w:p>
    <w:p/>
    <w:p>
      <w:r>
        <w:rPr>
          <w:color w:val="5B6472"/>
        </w:rPr>
        <w:t>Year 1 Flagship Workstream— This BRD defines the functional, non-functional, AI model, data, integration, and regulatory requirements for ACME Highland Health's claims and prior authorization AI capability. Developed through 8 JAD sessions (Oct–Dec 2026) with mandatory participation from Legal, Compliance, Enterprise Architecture, Cybersecurity, Clinical/Medical Policy, AI Governance, and the BRD-01 delivery lead. Requirements signed off at the Phase 1 gate (28 Feb 2027).</w:t>
      </w:r>
    </w:p>
    <w:p>
      <w:pPr>
        <w:pStyle w:val="Heading2"/>
      </w:pPr>
      <w:r>
        <w:t>1. Executive Summary &amp; Business Case</w:t>
      </w:r>
    </w:p>
    <w:p>
      <w:r>
        <w:t>ACME Highland Health processes approximately 800,000 prior authorization (PA) requests annually across its 4 million member base. The current process is predominantly manual: PA requests arrive via fax, phone, and provider portal; clinical staff review each request against medical policy guidelines; determinations are issued within 7–14 calendar days for standard requests and 24–72 hours for urgent requests. This manual process consumes approximately 120 FTE-years of clinical reviewer time annually, produces inconsistent decision quality (inter-reviewer agreement rate of approximately 78%), and creates member dissatisfaction driven by wait times and opaque decision rationale.</w:t>
      </w:r>
    </w:p>
    <w:p>
      <w:r>
        <w:t>BRD-01 delivers an AI-powered claims and prior authorization capability that automates the intake, clinical evaluation, and determination workflow for PA requests — while maintaining mandatory human review for all adverse determinations and preserving full audit traceability for regulatory compliance. The system uses a combination of natural language processing (to extract clinical information from unstructured submissions), rules-based clinical decision support (to apply medical policy guidelines), and machine learning (to predict approval likelihood and flag edge cases for human review).</w:t>
      </w:r>
    </w:p>
    <w:p>
      <w:pPr>
        <w:pStyle w:val="Heading3"/>
      </w:pPr>
      <w:r>
        <w:t>1.1 Business Objectives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Objective</w:t>
            </w:r>
          </w:p>
        </w:tc>
        <w:tc>
          <w:tcPr>
            <w:tcW w:type="dxa" w:w="2160"/>
          </w:tcPr>
          <w:p>
            <w:r>
              <w:t>Metric</w:t>
            </w:r>
          </w:p>
        </w:tc>
        <w:tc>
          <w:tcPr>
            <w:tcW w:type="dxa" w:w="2160"/>
          </w:tcPr>
          <w:p>
            <w:r>
              <w:t>Current Baseline</w:t>
            </w:r>
          </w:p>
        </w:tc>
        <w:tc>
          <w:tcPr>
            <w:tcW w:type="dxa" w:w="2160"/>
          </w:tcPr>
          <w:p>
            <w:r>
              <w:t>Target (12 months post-production)</w:t>
            </w:r>
          </w:p>
        </w:tc>
      </w:tr>
      <w:tr>
        <w:tc>
          <w:tcPr>
            <w:tcW w:type="dxa" w:w="2160"/>
          </w:tcPr>
          <w:p>
            <w:r>
              <w:t>Reduce PA cycle time</w:t>
            </w:r>
          </w:p>
        </w:tc>
        <w:tc>
          <w:tcPr>
            <w:tcW w:type="dxa" w:w="2160"/>
          </w:tcPr>
          <w:p>
            <w:r>
              <w:t>Average days from submission to determination</w:t>
            </w:r>
          </w:p>
        </w:tc>
        <w:tc>
          <w:tcPr>
            <w:tcW w:type="dxa" w:w="2160"/>
          </w:tcPr>
          <w:p>
            <w:r>
              <w:t>7–14 calendar days (standard)</w:t>
            </w:r>
          </w:p>
        </w:tc>
        <w:tc>
          <w:tcPr>
            <w:tcW w:type="dxa" w:w="2160"/>
          </w:tcPr>
          <w:p>
            <w:r>
              <w:t>≤ 3 calendar days (standard); ≤ 24 hours (urgent)</w:t>
            </w:r>
          </w:p>
        </w:tc>
      </w:tr>
      <w:tr>
        <w:tc>
          <w:tcPr>
            <w:tcW w:type="dxa" w:w="2160"/>
          </w:tcPr>
          <w:p>
            <w:r>
              <w:t>Increase automation rate</w:t>
            </w:r>
          </w:p>
        </w:tc>
        <w:tc>
          <w:tcPr>
            <w:tcW w:type="dxa" w:w="2160"/>
          </w:tcPr>
          <w:p>
            <w:r>
              <w:t>% of PAs auto-adjudicated (no human touch)</w:t>
            </w:r>
          </w:p>
        </w:tc>
        <w:tc>
          <w:tcPr>
            <w:tcW w:type="dxa" w:w="2160"/>
          </w:tcPr>
          <w:p>
            <w:r>
              <w:t>0% (fully manual)</w:t>
            </w:r>
          </w:p>
        </w:tc>
        <w:tc>
          <w:tcPr>
            <w:tcW w:type="dxa" w:w="2160"/>
          </w:tcPr>
          <w:p>
            <w:r>
              <w:t>60–70% of standard, non-complex PAs</w:t>
            </w:r>
          </w:p>
        </w:tc>
      </w:tr>
      <w:tr>
        <w:tc>
          <w:tcPr>
            <w:tcW w:type="dxa" w:w="2160"/>
          </w:tcPr>
          <w:p>
            <w:r>
              <w:t>Improve decision consistency</w:t>
            </w:r>
          </w:p>
        </w:tc>
        <w:tc>
          <w:tcPr>
            <w:tcW w:type="dxa" w:w="2160"/>
          </w:tcPr>
          <w:p>
            <w:r>
              <w:t>Inter-reviewer agreement rate</w:t>
            </w:r>
          </w:p>
        </w:tc>
        <w:tc>
          <w:tcPr>
            <w:tcW w:type="dxa" w:w="2160"/>
          </w:tcPr>
          <w:p>
            <w:r>
              <w:t>~78%</w:t>
            </w:r>
          </w:p>
        </w:tc>
        <w:tc>
          <w:tcPr>
            <w:tcW w:type="dxa" w:w="2160"/>
          </w:tcPr>
          <w:p>
            <w:r>
              <w:t>≥ 92% (AI + human combined)</w:t>
            </w:r>
          </w:p>
        </w:tc>
      </w:tr>
      <w:tr>
        <w:tc>
          <w:tcPr>
            <w:tcW w:type="dxa" w:w="2160"/>
          </w:tcPr>
          <w:p>
            <w:r>
              <w:t>Reduce clinical reviewer burden</w:t>
            </w:r>
          </w:p>
        </w:tc>
        <w:tc>
          <w:tcPr>
            <w:tcW w:type="dxa" w:w="2160"/>
          </w:tcPr>
          <w:p>
            <w:r>
              <w:t>Annual FTE-years consumed by PA review</w:t>
            </w:r>
          </w:p>
        </w:tc>
        <w:tc>
          <w:tcPr>
            <w:tcW w:type="dxa" w:w="2160"/>
          </w:tcPr>
          <w:p>
            <w:r>
              <w:t>~120 FTEs</w:t>
            </w:r>
          </w:p>
        </w:tc>
        <w:tc>
          <w:tcPr>
            <w:tcW w:type="dxa" w:w="2160"/>
          </w:tcPr>
          <w:p>
            <w:r>
              <w:t>~50 FTEs (redeployed to complex cases)</w:t>
            </w:r>
          </w:p>
        </w:tc>
      </w:tr>
      <w:tr>
        <w:tc>
          <w:tcPr>
            <w:tcW w:type="dxa" w:w="2160"/>
          </w:tcPr>
          <w:p>
            <w:r>
              <w:t>Improve member satisfaction</w:t>
            </w:r>
          </w:p>
        </w:tc>
        <w:tc>
          <w:tcPr>
            <w:tcW w:type="dxa" w:w="2160"/>
          </w:tcPr>
          <w:p>
            <w:r>
              <w:t>PA-related complaint rate per 1,000 members</w:t>
            </w:r>
          </w:p>
        </w:tc>
        <w:tc>
          <w:tcPr>
            <w:tcW w:type="dxa" w:w="2160"/>
          </w:tcPr>
          <w:p>
            <w:r>
              <w:t>Baseline measured Phase 0</w:t>
            </w:r>
          </w:p>
        </w:tc>
        <w:tc>
          <w:tcPr>
            <w:tcW w:type="dxa" w:w="2160"/>
          </w:tcPr>
          <w:p>
            <w:r>
              <w:t>30% reduction</w:t>
            </w:r>
          </w:p>
        </w:tc>
      </w:tr>
      <w:tr>
        <w:tc>
          <w:tcPr>
            <w:tcW w:type="dxa" w:w="2160"/>
          </w:tcPr>
          <w:p>
            <w:r>
              <w:t>Enhance fraud detection</w:t>
            </w:r>
          </w:p>
        </w:tc>
        <w:tc>
          <w:tcPr>
            <w:tcW w:type="dxa" w:w="2160"/>
          </w:tcPr>
          <w:p>
            <w:r>
              <w:t>Annual fraud identified via PA pattern analysis</w:t>
            </w:r>
          </w:p>
        </w:tc>
        <w:tc>
          <w:tcPr>
            <w:tcW w:type="dxa" w:w="2160"/>
          </w:tcPr>
          <w:p>
            <w:r>
              <w:t>Current baseline</w:t>
            </w:r>
          </w:p>
        </w:tc>
        <w:tc>
          <w:tcPr>
            <w:tcW w:type="dxa" w:w="2160"/>
          </w:tcPr>
          <w:p>
            <w:r>
              <w:t>$2.4M/year incremental identification</w:t>
            </w:r>
          </w:p>
        </w:tc>
      </w:tr>
    </w:tbl>
    <w:p/>
    <w:p>
      <w:pPr>
        <w:pStyle w:val="Heading3"/>
      </w:pPr>
      <w:r>
        <w:t>1.2 Investment &amp; Timeline</w:t>
      </w:r>
    </w:p>
    <w:p>
      <w:r>
        <w:t>Budget:$27.72M (Year 1 SOW-01, which also covers cross-cutting platform and governance work). BRD-01-specific delivery labor: approximately $12M of the Year 1 allocation.</w:t>
      </w:r>
    </w:p>
    <w:p>
      <w:r>
        <w:t>Timeline:Phase 0 (Aug–Nov 2026, readiness) → Phase 1 (Nov 2026–Feb 2027, requirements &amp; design) → Phase 2 (Feb–Jun 2027, build &amp; test) → Phase 3 (Jun–Aug 2027, pilot) → Phase 4 (Sep 2027, full production). Total: approximately 14 months from kickoff to production.</w:t>
      </w:r>
    </w:p>
    <w:p>
      <w:r>
        <w:t>Team:28 people (see Section 16), led by F. Bennett (BRD-01 Lead, Pulaski). Includes 4 ML engineers, 2 NLP engineers, 2 clinical rules engineers, 3 clinical reviewers (human-in-the-loop, ACME FTEs), 3 data scientists, 2 integration engineers, and supporting product, QA, DevOps, and documentation roles.</w:t>
      </w:r>
    </w:p>
    <w:p>
      <w:pPr>
        <w:pStyle w:val="Heading2"/>
      </w:pPr>
      <w:r>
        <w:t>2. Regulatory Drivers &amp; Compliance Requirements</w:t>
      </w:r>
    </w:p>
    <w:p>
      <w:pPr>
        <w:pStyle w:val="Heading3"/>
      </w:pPr>
      <w:r>
        <w:t>2.1 CMS-0057-F: Prior Authorization Interoperability</w:t>
      </w:r>
    </w:p>
    <w:p>
      <w:r>
        <w:t>The CMS Interoperability and Prior Authorization Final Rule (CMS-0057-F) is the primary external regulatory driver for BRD-01. Key requirements applicable to ACME as a payer:</w:t>
      </w:r>
    </w:p>
    <w:p>
      <w:pPr>
        <w:pStyle w:val="ListBullet"/>
      </w:pPr>
      <w:r>
        <w:t>Decision timelines (effective Jan 1, 2026):72 hours for urgent PA requests; 7 calendar days for standard PA requests. ACME's current performance frequently exceeds these windows. BRD-01's automation capability is designed to bring ACME well within compliance — targeting ≤24 hours (urgent) and ≤3 days (standard).</w:t>
      </w:r>
    </w:p>
    <w:p>
      <w:pPr>
        <w:pStyle w:val="ListBullet"/>
      </w:pPr>
      <w:r>
        <w:t>Prior Authorization API (effective Jan 1, 2027):Payers must implement a FHIR-based Prior Authorization API supporting electronic PA requests, responses, status updates, and documentation exchange. The API must support HL7 Da Vinci implementation guides: Coverage Requirements Discovery (CRD), Documentation Templates and Rules (DTR), and Prior Authorization Support (PAS). BRD-01's integration architecture (Section 8) is built around these FHIR standards.</w:t>
      </w:r>
    </w:p>
    <w:p>
      <w:pPr>
        <w:pStyle w:val="ListBullet"/>
      </w:pPr>
      <w:r>
        <w:t>Denial transparency (effective Jan 1, 2026):Payers must provide specific, machine-readable reasons when PA requests are denied. BRD-01's explainability requirement (Section 6.4) directly supports this — every AI-assisted determination includes a structured explanation of the factors that drove the decision.</w:t>
      </w:r>
    </w:p>
    <w:p>
      <w:pPr>
        <w:pStyle w:val="ListBullet"/>
      </w:pPr>
      <w:r>
        <w:t>Public reporting (effective Jan 1, 2026):Payers must publicly report PA metrics: submission volume, approval rate, denial rate, average decision time, appeal rate. BRD-01's audit trail (Section 10.3) captures the data needed for this reporting.</w:t>
      </w:r>
    </w:p>
    <w:p>
      <w:pPr>
        <w:ind w:left="432"/>
      </w:pPr>
      <w:r>
        <w:rPr>
          <w:sz w:val="22"/>
        </w:rPr>
        <w:t>Compliance boundary:ACME's baseline CMS-0057-F compliance project (separate from Project Catalyst) handles minimum regulatory requirements — the API endpoints, decision-timeline enforcement, and reporting mechanics. BRD-01 builds on top of that baseline: it is the AI-powered capability that processes the PA requests flowing through those API endpoints. BRD-01 does not replace the baseline compliance project; it enhances the quality, speed, and consistency of PA decision-making within the compliant infrastructure.</w:t>
      </w:r>
    </w:p>
    <w:p>
      <w:pPr>
        <w:pStyle w:val="Heading3"/>
      </w:pPr>
      <w:r>
        <w:t>2.2 State AI-in-Insurance Regulations</w:t>
      </w:r>
    </w:p>
    <w:p>
      <w:pPr>
        <w:pStyle w:val="ListBullet"/>
      </w:pPr>
      <w:r>
        <w:t>Colorado SB 21-169:Requires insurers using AI in coverage determinations to test for unfair discrimination. BRD-01's fairness testing requirement (Section 11) satisfies this.</w:t>
      </w:r>
    </w:p>
    <w:p>
      <w:pPr>
        <w:pStyle w:val="ListBullet"/>
      </w:pPr>
      <w:r>
        <w:t>Connecticut SB 1103:Requires disclosure when AI is used in insurance decisions and mandates human review of adverse determinations. BRD-01's human-in-the-loop requirement (Section 10) satisfies this.</w:t>
      </w:r>
    </w:p>
    <w:p>
      <w:pPr>
        <w:pStyle w:val="ListBullet"/>
      </w:pPr>
      <w:r>
        <w:t>NAIC Model AI Bulletin:Recommends governance, risk management, and transparency for AI use in insurance. BRD-01 operates under the AI Governance &amp; CoE framework (Section 16), which is aligned to both the NAIC bulletin and NIST AI RMF.</w:t>
      </w:r>
    </w:p>
    <w:p>
      <w:pPr>
        <w:pStyle w:val="Heading3"/>
      </w:pPr>
      <w:r>
        <w:t>2.3 HIPAA / HITECH</w:t>
      </w:r>
    </w:p>
    <w:p>
      <w:r>
        <w:t>All PA data is PHI. BRD-01 systems are subject to HIPAA Privacy and Security Rules. PHI handling requirements are defined in Section 7 (Data Requirements) and Section 9 (Non-Functional Requirements, security subsection). All vendor access to PA data requires executed BAAs.</w:t>
      </w:r>
    </w:p>
    <w:p>
      <w:pPr>
        <w:pStyle w:val="Heading2"/>
      </w:pPr>
      <w:r>
        <w:t>3. Current State Assessment</w:t>
      </w:r>
    </w:p>
    <w:p>
      <w:pPr>
        <w:pStyle w:val="Heading3"/>
      </w:pPr>
      <w:r>
        <w:t>3.1 Current PA Workflow</w:t>
      </w:r>
    </w:p>
    <w:p>
      <w:pPr>
        <w:pStyle w:val="ListNumber"/>
      </w:pPr>
      <w:r>
        <w:t>Intake:PA requests arrive via fax (~40%), provider portal (~35%), phone (~20%), and mail (~5%). No standardized electronic intake format; significant data re-entry.</w:t>
      </w:r>
    </w:p>
    <w:p>
      <w:pPr>
        <w:pStyle w:val="ListNumber"/>
      </w:pPr>
      <w:r>
        <w:t>Triage:Administrative staff classify requests by service type, urgency, and medical policy category. Manual process, approximately 15 minutes per request.</w:t>
      </w:r>
    </w:p>
    <w:p>
      <w:pPr>
        <w:pStyle w:val="ListNumber"/>
      </w:pPr>
      <w:r>
        <w:t>Clinical Review:Licensed clinical reviewers evaluate the request against ACME's medical policy guidelines. Reviewers access member history, clinical documentation, and policy guidelines across 3–4 separate systems. Average review time: 45–90 minutes per complex case; 15–30 minutes per routine case.</w:t>
      </w:r>
    </w:p>
    <w:p>
      <w:pPr>
        <w:pStyle w:val="ListNumber"/>
      </w:pPr>
      <w:r>
        <w:t>Determination:Reviewer issues approval, denial, or pend (request additional information). Denials require peer-to-peer review opportunity per CMS guidelines. Determination communicated to provider via portal notification, fax, or letter.</w:t>
      </w:r>
    </w:p>
    <w:p>
      <w:pPr>
        <w:pStyle w:val="ListNumber"/>
      </w:pPr>
      <w:r>
        <w:t>Appeal:Denied requests may be appealed. Appeals follow a separate workflow with additional clinical review levels.</w:t>
      </w:r>
    </w:p>
    <w:p>
      <w:pPr>
        <w:pStyle w:val="Heading3"/>
      </w:pPr>
      <w:r>
        <w:t>3.2 Current State Pain Points</w:t>
      </w:r>
    </w:p>
    <w:p>
      <w:pPr>
        <w:pStyle w:val="ListBullet"/>
      </w:pPr>
      <w:r>
        <w:t>Cycle time:Average 9.3 calendar days for standard PAs; 58% exceed the 7-day CMS-0057-F target. Urgent PAs average 36 hours; 12% exceed the 72-hour target.</w:t>
      </w:r>
    </w:p>
    <w:p>
      <w:pPr>
        <w:pStyle w:val="ListBullet"/>
      </w:pPr>
      <w:r>
        <w:t>Inconsistency:Inter-reviewer agreement rate of ~78% on matched cases. Variation driven by individual reviewer interpretation of medical policy guidelines, inconsistent access to member history, and reviewer workload pressure.</w:t>
      </w:r>
    </w:p>
    <w:p>
      <w:pPr>
        <w:pStyle w:val="ListBullet"/>
      </w:pPr>
      <w:r>
        <w:t>Cost:~120 FTE clinical reviewers at an average fully-loaded cost of ~$135,000/year = approximately $16.2M annually in PA review labor alone, not counting administrative intake and triage staff.</w:t>
      </w:r>
    </w:p>
    <w:p>
      <w:pPr>
        <w:pStyle w:val="ListBullet"/>
      </w:pPr>
      <w:r>
        <w:t>Data fragmentation:Clinical documentation, member history, and medical policy guidelines are stored across 4 disparate systems with no unified data layer. Reviewers spend approximately 30% of their review time navigating between systems rather than evaluating clinical evidence.</w:t>
      </w:r>
    </w:p>
    <w:p>
      <w:pPr>
        <w:pStyle w:val="ListBullet"/>
      </w:pPr>
      <w:r>
        <w:t>Member experience:Opaque determination rationale; generic denial letters that do not explain the specific clinical basis for the decision. PA-related complaints represent 22% of all member service inquiries.</w:t>
      </w:r>
    </w:p>
    <w:p>
      <w:pPr>
        <w:pStyle w:val="Heading2"/>
      </w:pPr>
      <w:r>
        <w:t>4. Target State &amp; Capability Description</w:t>
      </w:r>
    </w:p>
    <w:p>
      <w:pPr>
        <w:pStyle w:val="Heading3"/>
      </w:pPr>
      <w:r>
        <w:t>4.1 Target State Architecture (Conceptual)</w:t>
      </w:r>
    </w:p>
    <w:p>
      <w:r>
        <w:t>The target state replaces the manual intake-triage-review-determination workflow with an AI-assisted pipeline:</w:t>
      </w:r>
    </w:p>
    <w:p>
      <w:pPr>
        <w:pStyle w:val="ListNumber"/>
      </w:pPr>
      <w:r>
        <w:t>Intelligent Intake:PA requests received via FHIR API (CMS-0057-F compliant), provider portal, or fax (OCR + NLP extraction). Unstructured clinical documentation automatically parsed, coded, and mapped to ACME's medical policy taxonomy.</w:t>
      </w:r>
    </w:p>
    <w:p>
      <w:pPr>
        <w:pStyle w:val="ListNumber"/>
      </w:pPr>
      <w:r>
        <w:t>Automated Triage &amp; Pre-Screening:AI model classifies the request by urgency, service type, complexity, and medical policy category. Routine, clearly-approvable requests (e.g., well-established clinical evidence, matching policy criteria, no contraindications) are auto-approved without human touch. Estimated auto-approval pool: 60–70% of standard PAs.</w:t>
      </w:r>
    </w:p>
    <w:p>
      <w:pPr>
        <w:pStyle w:val="ListNumber"/>
      </w:pPr>
      <w:r>
        <w:t>AI-Assisted Clinical Review:Complex or edge-case requests are routed to clinical reviewers with an AI-generated case summary: extracted clinical evidence, relevant medical policy sections, similar prior decisions, and a preliminary recommendation with confidence score. Reviewers evaluate the AI summary and make the final determination. Average review time target: 10–20 minutes (down from 45–90).</w:t>
      </w:r>
    </w:p>
    <w:p>
      <w:pPr>
        <w:pStyle w:val="ListNumber"/>
      </w:pPr>
      <w:r>
        <w:t>Mandatory Human Review for Adverse Determinations:All denials and partial denials receive mandatory human clinical review before the determination is issued. The AI cannot issue an adverse determination without a human clinical reviewer confirming the decision. This is a hard constraint, not a configurable setting.</w:t>
      </w:r>
    </w:p>
    <w:p>
      <w:pPr>
        <w:pStyle w:val="ListNumber"/>
      </w:pPr>
      <w:r>
        <w:t>Explainable Determination:Every determination (approval or denial) includes a structured, human-readable explanation: the clinical factors evaluated, the medical policy sections applied, and the rationale for the decision. Explanations are machine-readable (for CMS-0057-F denial-reason reporting) and member-readable (for determination letters).</w:t>
      </w:r>
    </w:p>
    <w:p>
      <w:pPr>
        <w:pStyle w:val="ListNumber"/>
      </w:pPr>
      <w:r>
        <w:t>Continuous Monitoring:Production model performance monitored via automated dashboards: accuracy vs. ground-truth audit, fairness metrics by demographic group, cycle time, automation rate, and override rate (human reviewer overturning AI recommendation). Retraining triggered if performance drifts beyond defined thresholds.</w:t>
      </w:r>
    </w:p>
    <w:p>
      <w:pPr>
        <w:pStyle w:val="Heading2"/>
      </w:pPr>
      <w:r>
        <w:t>5. Functional Requirements</w:t>
      </w:r>
    </w:p>
    <w:p>
      <w:r>
        <w:t>Requirements are classified using MoSCoW prioritization:Must(non-negotiable for production),Should(expected, can defer with documented justification),Could(included if capacity allows).</w:t>
      </w:r>
    </w:p>
    <w:p>
      <w:pPr>
        <w:pStyle w:val="Heading3"/>
      </w:pPr>
      <w:r>
        <w:t>5.1 Intake &amp; Document Processing</w:t>
      </w:r>
    </w:p>
    <w:p>
      <w:r>
        <w:t>FR-01.001Must</w:t>
      </w:r>
    </w:p>
    <w:p>
      <w:r>
        <w:t>System shall accept PA requests via HL7 FHIR R4 Prior Authorization Support (PAS) API, conforming to Da Vinci PAS Implementation Guide v2.0+. API must support create, update, status inquiry, and cancel operations.</w:t>
      </w:r>
    </w:p>
    <w:p>
      <w:r>
        <w:t>FR-01.002Must</w:t>
      </w:r>
    </w:p>
    <w:p>
      <w:r>
        <w:t>System shall accept PA requests via ACME's existing provider portal, maintaining backward compatibility with current submission workflows during transition period (minimum 12 months post-production).</w:t>
      </w:r>
    </w:p>
    <w:p>
      <w:r>
        <w:t>FR-01.003Should</w:t>
      </w:r>
    </w:p>
    <w:p>
      <w:r>
        <w:t>System shall accept PA requests received via fax, using OCR + NLP to extract structured data (member ID, provider NPI, service codes, clinical documentation) from unstructured fax images. Target extraction accuracy: ≥ 90% for key fields with human verification queue for low-confidence extractions.</w:t>
      </w:r>
    </w:p>
    <w:p>
      <w:r>
        <w:t>FR-01.004Must</w:t>
      </w:r>
    </w:p>
    <w:p>
      <w:r>
        <w:t>System shall parse unstructured clinical documentation (physician notes, lab results, imaging reports) submitted with PA requests and extract relevant clinical evidence using NLP. Extracted evidence shall be mapped to ACME's medical policy taxonomy and presented to the clinical review module in structured form.</w:t>
      </w:r>
    </w:p>
    <w:p>
      <w:r>
        <w:t>FR-01.005Must</w:t>
      </w:r>
    </w:p>
    <w:p>
      <w:r>
        <w:t>System shall automatically verify member eligibility, benefit coverage, and service authorization requirements at intake, flagging requests that fail eligibility checks before clinical review.</w:t>
      </w:r>
    </w:p>
    <w:p>
      <w:pPr>
        <w:pStyle w:val="Heading3"/>
      </w:pPr>
      <w:r>
        <w:t>5.2 AI-Assisted Clinical Decision</w:t>
      </w:r>
    </w:p>
    <w:p>
      <w:r>
        <w:t>FR-01.006Must</w:t>
      </w:r>
    </w:p>
    <w:p>
      <w:r>
        <w:t>System shall classify each PA request by urgency (standard / urgent / retrospective), service category (medical, surgical, behavioral health, pharmacy, DME), and complexity (routine / complex / edge-case) using a trained classification model. Classification accuracy target: ≥ 95% on a ground-truth test set.</w:t>
      </w:r>
    </w:p>
    <w:p>
      <w:r>
        <w:t>FR-01.007Must</w:t>
      </w:r>
    </w:p>
    <w:p>
      <w:r>
        <w:t>System shall evaluate each PA request against ACME's medical policy guidelines using a combination of rules-based logic (for deterministic policy criteria) and ML prediction (for probabilistic clinical judgment). The system shall produce a preliminary recommendation (approve, deny, pend for additional information, route to human review) with a confidence score (0–100%).</w:t>
      </w:r>
    </w:p>
    <w:p>
      <w:r>
        <w:t>FR-01.008Must</w:t>
      </w:r>
    </w:p>
    <w:p>
      <w:r>
        <w:t>System shall auto-approve PA requests that meet ALL of the following criteria: (a) confidence score ≥ 95%, (b) request matches at least one existing approved-case pattern in the training data, (c) no clinical contraindications detected, (d) member eligibility confirmed, (e) service is within benefit coverage. Auto-approvals do not require human review but are logged for audit and included in quality sampling.</w:t>
      </w:r>
    </w:p>
    <w:p>
      <w:r>
        <w:t>FR-01.009Must</w:t>
      </w:r>
    </w:p>
    <w:p>
      <w:r>
        <w:t>System shall route all requests with confidence score &lt; 85% OR adverse preliminary recommendation (deny / partial deny) to the human clinical review queue. Routing shall include: AI-generated case summary, extracted clinical evidence, relevant medical policy sections, confidence score, and similar prior decisions for reference.</w:t>
      </w:r>
    </w:p>
    <w:p>
      <w:r>
        <w:t>FR-01.010Must</w:t>
      </w:r>
    </w:p>
    <w:p>
      <w:r>
        <w:t>System shall route requests with confidence score 85%–94% to a "verify" queue where a human reviewer confirms or overrides the AI recommendation with a streamlined review (target: 5–10 minutes per case). The reviewer's action is logged as either "confirmed AI recommendation" or "overrode AI recommendation (with reason code)."</w:t>
      </w:r>
    </w:p>
    <w:p>
      <w:pPr>
        <w:pStyle w:val="Heading3"/>
      </w:pPr>
      <w:r>
        <w:t>5.3 Determination &amp; Communication</w:t>
      </w:r>
    </w:p>
    <w:p>
      <w:r>
        <w:t>FR-01.011Must</w:t>
      </w:r>
    </w:p>
    <w:p>
      <w:r>
        <w:t>System shall issue PA determinations within the CMS-0057-F timelines: 72 hours for urgent requests, 7 calendar days for standard requests. System shall track elapsed time from submission and escalate requests approaching the deadline to the human review queue with priority flagging.</w:t>
      </w:r>
    </w:p>
    <w:p>
      <w:r>
        <w:t>FR-01.012Must</w:t>
      </w:r>
    </w:p>
    <w:p>
      <w:r>
        <w:t>System shall generate a structured, human-readable explanation for every determination (approval or denial). Explanation shall include: the specific clinical evidence evaluated, the specific medical policy sections applied, the decision rationale, and (for denials) the specific criteria the request did not meet. Explanations must be both machine-readable (for CMS reporting) and member-readable (for determination letters).</w:t>
      </w:r>
    </w:p>
    <w:p>
      <w:r>
        <w:t>FR-01.013Must</w:t>
      </w:r>
    </w:p>
    <w:p>
      <w:r>
        <w:t>System shall communicate determinations to providers via the FHIR PAS API (real-time response), provider portal notification, and member notification (portal + letter). Denial letters shall include specific denial reason, medical policy reference, clinical basis, and instructions for appeal.</w:t>
      </w:r>
    </w:p>
    <w:p>
      <w:r>
        <w:t>FR-01.014Should</w:t>
      </w:r>
    </w:p>
    <w:p>
      <w:r>
        <w:t>System shall support the HL7 Da Vinci Coverage Requirements Discovery (CRD) flow, enabling providers to check PA requirements before submitting a request. CRD responses shall indicate whether a service requires PA, what documentation is needed, and the expected decision timeline.</w:t>
      </w:r>
    </w:p>
    <w:p>
      <w:pPr>
        <w:pStyle w:val="Heading3"/>
      </w:pPr>
      <w:r>
        <w:t>5.4 Audit, Reporting &amp; Compliance</w:t>
      </w:r>
    </w:p>
    <w:p>
      <w:r>
        <w:t>FR-01.015Must</w:t>
      </w:r>
    </w:p>
    <w:p>
      <w:r>
        <w:t>System shall maintain a complete audit trail for every PA decision: timestamp, request data hash, model version used, confidence score, preliminary recommendation, human reviewer action (if any), final determination, explanation text, and communication timestamp. Audit trail shall be immutable and retained per ACME's data retention policy (minimum 7 years).</w:t>
      </w:r>
    </w:p>
    <w:p>
      <w:r>
        <w:t>FR-01.016Must</w:t>
      </w:r>
    </w:p>
    <w:p>
      <w:r>
        <w:t>System shall generate the CMS-0057-F public reporting metrics: PA submission volume (by service category), approval rate, denial rate, average decision time (standard and urgent), and appeal rate. Reports shall be producible on demand for any reporting period.</w:t>
      </w:r>
    </w:p>
    <w:p>
      <w:r>
        <w:t>FR-01.017Must</w:t>
      </w:r>
    </w:p>
    <w:p>
      <w:r>
        <w:t>System shall support quality audit sampling: a configurable percentage of auto-approved cases (default: 5%) shall be randomly selected for retrospective human clinical review. Audit results shall be compared to the AI determination; discrepancies logged and reported to AI Governance Board.</w:t>
      </w:r>
    </w:p>
    <w:p>
      <w:pPr>
        <w:pStyle w:val="Heading2"/>
      </w:pPr>
      <w:r>
        <w:t>6. AI Model Specifications</w:t>
      </w:r>
    </w:p>
    <w:p>
      <w:pPr>
        <w:pStyle w:val="Heading3"/>
      </w:pPr>
      <w:r>
        <w:t>6.1 Model Architecture</w:t>
      </w:r>
    </w:p>
    <w:p>
      <w:r>
        <w:t>BRD-01 uses a multi-model architecture — not a single monolithic model. Each model has a specific function, its own training data, and its own validation criteria:</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Model</w:t>
            </w:r>
          </w:p>
        </w:tc>
        <w:tc>
          <w:tcPr>
            <w:tcW w:type="dxa" w:w="2160"/>
          </w:tcPr>
          <w:p>
            <w:r>
              <w:t>Type</w:t>
            </w:r>
          </w:p>
        </w:tc>
        <w:tc>
          <w:tcPr>
            <w:tcW w:type="dxa" w:w="2160"/>
          </w:tcPr>
          <w:p>
            <w:r>
              <w:t>Function</w:t>
            </w:r>
          </w:p>
        </w:tc>
        <w:tc>
          <w:tcPr>
            <w:tcW w:type="dxa" w:w="2160"/>
          </w:tcPr>
          <w:p>
            <w:r>
              <w:t>Accuracy Target</w:t>
            </w:r>
          </w:p>
        </w:tc>
      </w:tr>
      <w:tr>
        <w:tc>
          <w:tcPr>
            <w:tcW w:type="dxa" w:w="2160"/>
          </w:tcPr>
          <w:p>
            <w:r>
              <w:t>M-01: Document Extraction</w:t>
            </w:r>
          </w:p>
        </w:tc>
        <w:tc>
          <w:tcPr>
            <w:tcW w:type="dxa" w:w="2160"/>
          </w:tcPr>
          <w:p>
            <w:r>
              <w:t>NLP / Named Entity Recognition</w:t>
            </w:r>
          </w:p>
        </w:tc>
        <w:tc>
          <w:tcPr>
            <w:tcW w:type="dxa" w:w="2160"/>
          </w:tcPr>
          <w:p>
            <w:r>
              <w:t>Extract clinical entities (diagnoses, procedures, medications, lab values) from unstructured clinical documents</w:t>
            </w:r>
          </w:p>
        </w:tc>
        <w:tc>
          <w:tcPr>
            <w:tcW w:type="dxa" w:w="2160"/>
          </w:tcPr>
          <w:p>
            <w:r>
              <w:t>F1 ≥ 0.90 on benchmark entity set</w:t>
            </w:r>
          </w:p>
        </w:tc>
      </w:tr>
      <w:tr>
        <w:tc>
          <w:tcPr>
            <w:tcW w:type="dxa" w:w="2160"/>
          </w:tcPr>
          <w:p>
            <w:r>
              <w:t>M-02: Request Classifier</w:t>
            </w:r>
          </w:p>
        </w:tc>
        <w:tc>
          <w:tcPr>
            <w:tcW w:type="dxa" w:w="2160"/>
          </w:tcPr>
          <w:p>
            <w:r>
              <w:t>Multi-label Classification</w:t>
            </w:r>
          </w:p>
        </w:tc>
        <w:tc>
          <w:tcPr>
            <w:tcW w:type="dxa" w:w="2160"/>
          </w:tcPr>
          <w:p>
            <w:r>
              <w:t>Classify PA request by urgency, service category, and complexity</w:t>
            </w:r>
          </w:p>
        </w:tc>
        <w:tc>
          <w:tcPr>
            <w:tcW w:type="dxa" w:w="2160"/>
          </w:tcPr>
          <w:p>
            <w:r>
              <w:t>Accuracy ≥ 95% on ground-truth test set</w:t>
            </w:r>
          </w:p>
        </w:tc>
      </w:tr>
      <w:tr>
        <w:tc>
          <w:tcPr>
            <w:tcW w:type="dxa" w:w="2160"/>
          </w:tcPr>
          <w:p>
            <w:r>
              <w:t>M-03: Clinical Decision Model</w:t>
            </w:r>
          </w:p>
        </w:tc>
        <w:tc>
          <w:tcPr>
            <w:tcW w:type="dxa" w:w="2160"/>
          </w:tcPr>
          <w:p>
            <w:r>
              <w:t>Ensemble (Rules + ML)</w:t>
            </w:r>
          </w:p>
        </w:tc>
        <w:tc>
          <w:tcPr>
            <w:tcW w:type="dxa" w:w="2160"/>
          </w:tcPr>
          <w:p>
            <w:r>
              <w:t>Evaluate clinical evidence against medical policy; produce recommendation + confidence score</w:t>
            </w:r>
          </w:p>
        </w:tc>
        <w:tc>
          <w:tcPr>
            <w:tcW w:type="dxa" w:w="2160"/>
          </w:tcPr>
          <w:p>
            <w:r>
              <w:t>Agreement with expert panel ≥ 92% on benchmark cases</w:t>
            </w:r>
          </w:p>
        </w:tc>
      </w:tr>
      <w:tr>
        <w:tc>
          <w:tcPr>
            <w:tcW w:type="dxa" w:w="2160"/>
          </w:tcPr>
          <w:p>
            <w:r>
              <w:t>M-04: Fraud Pattern Detector</w:t>
            </w:r>
          </w:p>
        </w:tc>
        <w:tc>
          <w:tcPr>
            <w:tcW w:type="dxa" w:w="2160"/>
          </w:tcPr>
          <w:p>
            <w:r>
              <w:t>Anomaly Detection</w:t>
            </w:r>
          </w:p>
        </w:tc>
        <w:tc>
          <w:tcPr>
            <w:tcW w:type="dxa" w:w="2160"/>
          </w:tcPr>
          <w:p>
            <w:r>
              <w:t>Flag PA requests exhibiting patterns associated with known fraud typologies</w:t>
            </w:r>
          </w:p>
        </w:tc>
        <w:tc>
          <w:tcPr>
            <w:tcW w:type="dxa" w:w="2160"/>
          </w:tcPr>
          <w:p>
            <w:r>
              <w:t>Precision ≥ 80%, Recall ≥ 60% on historical fraud cases</w:t>
            </w:r>
          </w:p>
        </w:tc>
      </w:tr>
      <w:tr>
        <w:tc>
          <w:tcPr>
            <w:tcW w:type="dxa" w:w="2160"/>
          </w:tcPr>
          <w:p>
            <w:r>
              <w:t>M-05: Explanation Generator</w:t>
            </w:r>
          </w:p>
        </w:tc>
        <w:tc>
          <w:tcPr>
            <w:tcW w:type="dxa" w:w="2160"/>
          </w:tcPr>
          <w:p>
            <w:r>
              <w:t>Template + Extractive Summarization</w:t>
            </w:r>
          </w:p>
        </w:tc>
        <w:tc>
          <w:tcPr>
            <w:tcW w:type="dxa" w:w="2160"/>
          </w:tcPr>
          <w:p>
            <w:r>
              <w:t>Generate human-readable determination explanations from model outputs</w:t>
            </w:r>
          </w:p>
        </w:tc>
        <w:tc>
          <w:tcPr>
            <w:tcW w:type="dxa" w:w="2160"/>
          </w:tcPr>
          <w:p>
            <w:r>
              <w:t>Readability grade level ≤ 8; factual accuracy ≥ 97%</w:t>
            </w:r>
          </w:p>
        </w:tc>
      </w:tr>
    </w:tbl>
    <w:p/>
    <w:p>
      <w:pPr>
        <w:pStyle w:val="Heading3"/>
      </w:pPr>
      <w:r>
        <w:t>6.2 Model Training Data Requirements</w:t>
      </w:r>
    </w:p>
    <w:p>
      <w:pPr>
        <w:pStyle w:val="ListBullet"/>
      </w:pPr>
      <w:r>
        <w:t>Training corpus:Minimum 500,000 historical PA decisions (3 years of ACME PA history) with outcomes, clinical documentation, medical policy versions applied, and reviewer notes.</w:t>
      </w:r>
    </w:p>
    <w:p>
      <w:pPr>
        <w:pStyle w:val="ListBullet"/>
      </w:pPr>
      <w:r>
        <w:t>Ground-truth benchmark:5,000 PA cases independently reviewed by a panel of 3 clinical experts (majority-rules adjudication) to establish gold-standard labels. Benchmark refreshed annually.</w:t>
      </w:r>
    </w:p>
    <w:p>
      <w:pPr>
        <w:pStyle w:val="ListBullet"/>
      </w:pPr>
      <w:r>
        <w:t>De-identification:All training data de-identified per HIPAA Safe Harbor method before use. De-identification verified by Data Privacy Office (E. Sato) before any dataset is released for model training.</w:t>
      </w:r>
    </w:p>
    <w:p>
      <w:pPr>
        <w:pStyle w:val="ListBullet"/>
      </w:pPr>
      <w:r>
        <w:t>Bias audit of training data:Training data audited for demographic representation before use. If any demographic group (age, gender, geography, plan type) is underrepresented by &gt;20% relative to ACME's member population, the dataset is augmented or the model is trained with appropriate weighting.</w:t>
      </w:r>
    </w:p>
    <w:p>
      <w:pPr>
        <w:pStyle w:val="Heading3"/>
      </w:pPr>
      <w:r>
        <w:t>6.3 Model Performance Monitoring (Production)</w:t>
      </w:r>
    </w:p>
    <w:p>
      <w:pPr>
        <w:pStyle w:val="ListBullet"/>
      </w:pPr>
      <w:r>
        <w:t>Accuracy drift monitoring:Weekly comparison of model predictions against retrospective audit results. If accuracy drops &gt;3 percentage points below the validation benchmark, a retraining investigation is triggered within 5 business days.</w:t>
      </w:r>
    </w:p>
    <w:p>
      <w:pPr>
        <w:pStyle w:val="ListBullet"/>
      </w:pPr>
      <w:r>
        <w:t>Override rate monitoring:Monthly tracking of human reviewer override rate (cases where the reviewer changes the AI recommendation). If override rate exceeds 15% for any service category, the model for that category is flagged for retraining assessment.</w:t>
      </w:r>
    </w:p>
    <w:p>
      <w:pPr>
        <w:pStyle w:val="ListBullet"/>
      </w:pPr>
      <w:r>
        <w:t>Fairness drift monitoring:Monthly comparison of approval/denial rates across demographic groups. If any group's rate deviates &gt;5% from the population mean (and deviation is not explained by documented clinical differences), flagged to AI Governance Board within 48 hours.</w:t>
      </w:r>
    </w:p>
    <w:p>
      <w:pPr>
        <w:pStyle w:val="Heading3"/>
      </w:pPr>
      <w:r>
        <w:t>6.4 Model Explainability Requirements</w:t>
      </w:r>
    </w:p>
    <w:p>
      <w:r>
        <w:t>Every model output must be interpretable. Black-box models without explainability are rejected at the model design stage (AI Governance Board, Section 12 ofProgram Governance Model).</w:t>
      </w:r>
    </w:p>
    <w:p>
      <w:pPr>
        <w:pStyle w:val="ListBullet"/>
      </w:pPr>
      <w:r>
        <w:t>M-03 (Clinical Decision Model):For every recommendation, the system must identify: the top 5 clinical factors that drove the decision, the specific medical policy section(s) applied, and the confidence basis (similar cases, rule match, or both).</w:t>
      </w:r>
    </w:p>
    <w:p>
      <w:pPr>
        <w:pStyle w:val="ListBullet"/>
      </w:pPr>
      <w:r>
        <w:t>M-01 (Document Extraction):Extracted entities must be linked to their source location in the original document (character offset), enabling human verification of extraction accuracy.</w:t>
      </w:r>
    </w:p>
    <w:p>
      <w:pPr>
        <w:pStyle w:val="ListBullet"/>
      </w:pPr>
      <w:r>
        <w:t>M-05 (Explanation Generator):Generated explanations must be factually grounded — every claim in the explanation must trace to either an extracted clinical fact or a medical policy citation. Hallucinated explanations (claims not supported by evidence) are treated as Critical defects.</w:t>
      </w:r>
    </w:p>
    <w:p>
      <w:pPr>
        <w:pStyle w:val="Heading2"/>
      </w:pPr>
      <w:r>
        <w:t>7. Data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Data Element</w:t>
            </w:r>
          </w:p>
        </w:tc>
        <w:tc>
          <w:tcPr>
            <w:tcW w:type="dxa" w:w="2160"/>
          </w:tcPr>
          <w:p>
            <w:r>
              <w:t>Source System</w:t>
            </w:r>
          </w:p>
        </w:tc>
        <w:tc>
          <w:tcPr>
            <w:tcW w:type="dxa" w:w="2160"/>
          </w:tcPr>
          <w:p>
            <w:r>
              <w:t>Classification</w:t>
            </w:r>
          </w:p>
        </w:tc>
        <w:tc>
          <w:tcPr>
            <w:tcW w:type="dxa" w:w="2160"/>
          </w:tcPr>
          <w:p>
            <w:r>
              <w:t>Access Control</w:t>
            </w:r>
          </w:p>
        </w:tc>
      </w:tr>
      <w:tr>
        <w:tc>
          <w:tcPr>
            <w:tcW w:type="dxa" w:w="2160"/>
          </w:tcPr>
          <w:p>
            <w:r>
              <w:t>Member demographics &amp; eligibility</w:t>
            </w:r>
          </w:p>
        </w:tc>
        <w:tc>
          <w:tcPr>
            <w:tcW w:type="dxa" w:w="2160"/>
          </w:tcPr>
          <w:p>
            <w:r>
              <w:t>Core administration platform</w:t>
            </w:r>
          </w:p>
        </w:tc>
        <w:tc>
          <w:tcPr>
            <w:tcW w:type="dxa" w:w="2160"/>
          </w:tcPr>
          <w:p>
            <w:r>
              <w:t>PII + PHI</w:t>
            </w:r>
          </w:p>
        </w:tc>
        <w:tc>
          <w:tcPr>
            <w:tcW w:type="dxa" w:w="2160"/>
          </w:tcPr>
          <w:p>
            <w:r>
              <w:t>Onshore US only; RBAC</w:t>
            </w:r>
          </w:p>
        </w:tc>
      </w:tr>
      <w:tr>
        <w:tc>
          <w:tcPr>
            <w:tcW w:type="dxa" w:w="2160"/>
          </w:tcPr>
          <w:p>
            <w:r>
              <w:t>Claims history (3 years)</w:t>
            </w:r>
          </w:p>
        </w:tc>
        <w:tc>
          <w:tcPr>
            <w:tcW w:type="dxa" w:w="2160"/>
          </w:tcPr>
          <w:p>
            <w:r>
              <w:t>Claims processing system</w:t>
            </w:r>
          </w:p>
        </w:tc>
        <w:tc>
          <w:tcPr>
            <w:tcW w:type="dxa" w:w="2160"/>
          </w:tcPr>
          <w:p>
            <w:r>
              <w:t>PHI</w:t>
            </w:r>
          </w:p>
        </w:tc>
        <w:tc>
          <w:tcPr>
            <w:tcW w:type="dxa" w:w="2160"/>
          </w:tcPr>
          <w:p>
            <w:r>
              <w:t>Onshore US only; RBAC</w:t>
            </w:r>
          </w:p>
        </w:tc>
      </w:tr>
      <w:tr>
        <w:tc>
          <w:tcPr>
            <w:tcW w:type="dxa" w:w="2160"/>
          </w:tcPr>
          <w:p>
            <w:r>
              <w:t>PA request data (submissions, determinations)</w:t>
            </w:r>
          </w:p>
        </w:tc>
        <w:tc>
          <w:tcPr>
            <w:tcW w:type="dxa" w:w="2160"/>
          </w:tcPr>
          <w:p>
            <w:r>
              <w:t>PA management system</w:t>
            </w:r>
          </w:p>
        </w:tc>
        <w:tc>
          <w:tcPr>
            <w:tcW w:type="dxa" w:w="2160"/>
          </w:tcPr>
          <w:p>
            <w:r>
              <w:t>PHI</w:t>
            </w:r>
          </w:p>
        </w:tc>
        <w:tc>
          <w:tcPr>
            <w:tcW w:type="dxa" w:w="2160"/>
          </w:tcPr>
          <w:p>
            <w:r>
              <w:t>Onshore US only; RBAC</w:t>
            </w:r>
          </w:p>
        </w:tc>
      </w:tr>
      <w:tr>
        <w:tc>
          <w:tcPr>
            <w:tcW w:type="dxa" w:w="2160"/>
          </w:tcPr>
          <w:p>
            <w:r>
              <w:t>Clinical documentation (physician notes, labs, imaging)</w:t>
            </w:r>
          </w:p>
        </w:tc>
        <w:tc>
          <w:tcPr>
            <w:tcW w:type="dxa" w:w="2160"/>
          </w:tcPr>
          <w:p>
            <w:r>
              <w:t>Provider submissions (portal, fax, API)</w:t>
            </w:r>
          </w:p>
        </w:tc>
        <w:tc>
          <w:tcPr>
            <w:tcW w:type="dxa" w:w="2160"/>
          </w:tcPr>
          <w:p>
            <w:r>
              <w:t>PHI</w:t>
            </w:r>
          </w:p>
        </w:tc>
        <w:tc>
          <w:tcPr>
            <w:tcW w:type="dxa" w:w="2160"/>
          </w:tcPr>
          <w:p>
            <w:r>
              <w:t>Onshore US only; RBAC</w:t>
            </w:r>
          </w:p>
        </w:tc>
      </w:tr>
      <w:tr>
        <w:tc>
          <w:tcPr>
            <w:tcW w:type="dxa" w:w="2160"/>
          </w:tcPr>
          <w:p>
            <w:r>
              <w:t>Medical policy guidelines</w:t>
            </w:r>
          </w:p>
        </w:tc>
        <w:tc>
          <w:tcPr>
            <w:tcW w:type="dxa" w:w="2160"/>
          </w:tcPr>
          <w:p>
            <w:r>
              <w:t>ACME medical policy system</w:t>
            </w:r>
          </w:p>
        </w:tc>
        <w:tc>
          <w:tcPr>
            <w:tcW w:type="dxa" w:w="2160"/>
          </w:tcPr>
          <w:p>
            <w:r>
              <w:t>Internal / Proprietary</w:t>
            </w:r>
          </w:p>
        </w:tc>
        <w:tc>
          <w:tcPr>
            <w:tcW w:type="dxa" w:w="2160"/>
          </w:tcPr>
          <w:p>
            <w:r>
              <w:t>Read access for AI models; update access restricted to Medical Policy team</w:t>
            </w:r>
          </w:p>
        </w:tc>
      </w:tr>
      <w:tr>
        <w:tc>
          <w:tcPr>
            <w:tcW w:type="dxa" w:w="2160"/>
          </w:tcPr>
          <w:p>
            <w:r>
              <w:t>Provider directory &amp; NPI registry</w:t>
            </w:r>
          </w:p>
        </w:tc>
        <w:tc>
          <w:tcPr>
            <w:tcW w:type="dxa" w:w="2160"/>
          </w:tcPr>
          <w:p>
            <w:r>
              <w:t>Provider management system</w:t>
            </w:r>
          </w:p>
        </w:tc>
        <w:tc>
          <w:tcPr>
            <w:tcW w:type="dxa" w:w="2160"/>
          </w:tcPr>
          <w:p>
            <w:r>
              <w:t>Non-sensitive</w:t>
            </w:r>
          </w:p>
        </w:tc>
        <w:tc>
          <w:tcPr>
            <w:tcW w:type="dxa" w:w="2160"/>
          </w:tcPr>
          <w:p>
            <w:r>
              <w:t>Standard access</w:t>
            </w:r>
          </w:p>
        </w:tc>
      </w:tr>
      <w:tr>
        <w:tc>
          <w:tcPr>
            <w:tcW w:type="dxa" w:w="2160"/>
          </w:tcPr>
          <w:p>
            <w:r>
              <w:t>Fraud case history</w:t>
            </w:r>
          </w:p>
        </w:tc>
        <w:tc>
          <w:tcPr>
            <w:tcW w:type="dxa" w:w="2160"/>
          </w:tcPr>
          <w:p>
            <w:r>
              <w:t>Special Investigations Unit</w:t>
            </w:r>
          </w:p>
        </w:tc>
        <w:tc>
          <w:tcPr>
            <w:tcW w:type="dxa" w:w="2160"/>
          </w:tcPr>
          <w:p>
            <w:r>
              <w:t>Sensitive / PHI</w:t>
            </w:r>
          </w:p>
        </w:tc>
        <w:tc>
          <w:tcPr>
            <w:tcW w:type="dxa" w:w="2160"/>
          </w:tcPr>
          <w:p>
            <w:r>
              <w:t>Restricted; SIU approval required</w:t>
            </w:r>
          </w:p>
        </w:tc>
      </w:tr>
    </w:tbl>
    <w:p/>
    <w:p>
      <w:pPr>
        <w:ind w:left="432"/>
      </w:pPr>
      <w:r>
        <w:rPr>
          <w:sz w:val="22"/>
        </w:rPr>
        <w:t>Data residency constraint:All PHI data used by BRD-01 models resides exclusively in US-based cloud regions. Offshore development team members work with synthetic/anonymized datasets only. Real PHI is never exposed to offshore environments. This is a design constraint validated by E. Sato (CPO) and D. Chen (Chief Architect) at Phase 0. See RAIDD R-08 for the associated risk and mitigation.</w:t>
      </w:r>
    </w:p>
    <w:p>
      <w:pPr>
        <w:pStyle w:val="Heading2"/>
      </w:pPr>
      <w:r>
        <w:t>8. Integration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Integration</w:t>
            </w:r>
          </w:p>
        </w:tc>
        <w:tc>
          <w:tcPr>
            <w:tcW w:type="dxa" w:w="2160"/>
          </w:tcPr>
          <w:p>
            <w:r>
              <w:t>Protocol</w:t>
            </w:r>
          </w:p>
        </w:tc>
        <w:tc>
          <w:tcPr>
            <w:tcW w:type="dxa" w:w="2160"/>
          </w:tcPr>
          <w:p>
            <w:r>
              <w:t>Direction</w:t>
            </w:r>
          </w:p>
        </w:tc>
        <w:tc>
          <w:tcPr>
            <w:tcW w:type="dxa" w:w="2160"/>
          </w:tcPr>
          <w:p>
            <w:r>
              <w:t>Frequency</w:t>
            </w:r>
          </w:p>
        </w:tc>
      </w:tr>
      <w:tr>
        <w:tc>
          <w:tcPr>
            <w:tcW w:type="dxa" w:w="2160"/>
          </w:tcPr>
          <w:p>
            <w:r>
              <w:t>Prior Authorization API (CMS-0057-F)</w:t>
            </w:r>
          </w:p>
        </w:tc>
        <w:tc>
          <w:tcPr>
            <w:tcW w:type="dxa" w:w="2160"/>
          </w:tcPr>
          <w:p>
            <w:r>
              <w:t>HL7 FHIR R4 (Da Vinci PAS IG)</w:t>
            </w:r>
          </w:p>
        </w:tc>
        <w:tc>
          <w:tcPr>
            <w:tcW w:type="dxa" w:w="2160"/>
          </w:tcPr>
          <w:p>
            <w:r>
              <w:t>Bidirectional</w:t>
            </w:r>
          </w:p>
        </w:tc>
        <w:tc>
          <w:tcPr>
            <w:tcW w:type="dxa" w:w="2160"/>
          </w:tcPr>
          <w:p>
            <w:r>
              <w:t>Real-time (synchronous and asynchronous)</w:t>
            </w:r>
          </w:p>
        </w:tc>
      </w:tr>
      <w:tr>
        <w:tc>
          <w:tcPr>
            <w:tcW w:type="dxa" w:w="2160"/>
          </w:tcPr>
          <w:p>
            <w:r>
              <w:t>Coverage Requirements Discovery</w:t>
            </w:r>
          </w:p>
        </w:tc>
        <w:tc>
          <w:tcPr>
            <w:tcW w:type="dxa" w:w="2160"/>
          </w:tcPr>
          <w:p>
            <w:r>
              <w:t>HL7 FHIR R4 (Da Vinci CRD IG)</w:t>
            </w:r>
          </w:p>
        </w:tc>
        <w:tc>
          <w:tcPr>
            <w:tcW w:type="dxa" w:w="2160"/>
          </w:tcPr>
          <w:p>
            <w:r>
              <w:t>Response to provider query</w:t>
            </w:r>
          </w:p>
        </w:tc>
        <w:tc>
          <w:tcPr>
            <w:tcW w:type="dxa" w:w="2160"/>
          </w:tcPr>
          <w:p>
            <w:r>
              <w:t>Real-time</w:t>
            </w:r>
          </w:p>
        </w:tc>
      </w:tr>
      <w:tr>
        <w:tc>
          <w:tcPr>
            <w:tcW w:type="dxa" w:w="2160"/>
          </w:tcPr>
          <w:p>
            <w:r>
              <w:t>Core administration platform (eligibility)</w:t>
            </w:r>
          </w:p>
        </w:tc>
        <w:tc>
          <w:tcPr>
            <w:tcW w:type="dxa" w:w="2160"/>
          </w:tcPr>
          <w:p>
            <w:r>
              <w:t>REST API / internal</w:t>
            </w:r>
          </w:p>
        </w:tc>
        <w:tc>
          <w:tcPr>
            <w:tcW w:type="dxa" w:w="2160"/>
          </w:tcPr>
          <w:p>
            <w:r>
              <w:t>Read</w:t>
            </w:r>
          </w:p>
        </w:tc>
        <w:tc>
          <w:tcPr>
            <w:tcW w:type="dxa" w:w="2160"/>
          </w:tcPr>
          <w:p>
            <w:r>
              <w:t>Real-time at intake</w:t>
            </w:r>
          </w:p>
        </w:tc>
      </w:tr>
      <w:tr>
        <w:tc>
          <w:tcPr>
            <w:tcW w:type="dxa" w:w="2160"/>
          </w:tcPr>
          <w:p>
            <w:r>
              <w:t>Claims processing system (history)</w:t>
            </w:r>
          </w:p>
        </w:tc>
        <w:tc>
          <w:tcPr>
            <w:tcW w:type="dxa" w:w="2160"/>
          </w:tcPr>
          <w:p>
            <w:r>
              <w:t>Batch ETL + real-time API</w:t>
            </w:r>
          </w:p>
        </w:tc>
        <w:tc>
          <w:tcPr>
            <w:tcW w:type="dxa" w:w="2160"/>
          </w:tcPr>
          <w:p>
            <w:r>
              <w:t>Read</w:t>
            </w:r>
          </w:p>
        </w:tc>
        <w:tc>
          <w:tcPr>
            <w:tcW w:type="dxa" w:w="2160"/>
          </w:tcPr>
          <w:p>
            <w:r>
              <w:t>Nightly batch + real-time for active cases</w:t>
            </w:r>
          </w:p>
        </w:tc>
      </w:tr>
      <w:tr>
        <w:tc>
          <w:tcPr>
            <w:tcW w:type="dxa" w:w="2160"/>
          </w:tcPr>
          <w:p>
            <w:r>
              <w:t>Medical policy engine</w:t>
            </w:r>
          </w:p>
        </w:tc>
        <w:tc>
          <w:tcPr>
            <w:tcW w:type="dxa" w:w="2160"/>
          </w:tcPr>
          <w:p>
            <w:r>
              <w:t>Internal API</w:t>
            </w:r>
          </w:p>
        </w:tc>
        <w:tc>
          <w:tcPr>
            <w:tcW w:type="dxa" w:w="2160"/>
          </w:tcPr>
          <w:p>
            <w:r>
              <w:t>Read</w:t>
            </w:r>
          </w:p>
        </w:tc>
        <w:tc>
          <w:tcPr>
            <w:tcW w:type="dxa" w:w="2160"/>
          </w:tcPr>
          <w:p>
            <w:r>
              <w:t>On-demand per evaluation</w:t>
            </w:r>
          </w:p>
        </w:tc>
      </w:tr>
      <w:tr>
        <w:tc>
          <w:tcPr>
            <w:tcW w:type="dxa" w:w="2160"/>
          </w:tcPr>
          <w:p>
            <w:r>
              <w:t>Provider portal</w:t>
            </w:r>
          </w:p>
        </w:tc>
        <w:tc>
          <w:tcPr>
            <w:tcW w:type="dxa" w:w="2160"/>
          </w:tcPr>
          <w:p>
            <w:r>
              <w:t>REST API / web</w:t>
            </w:r>
          </w:p>
        </w:tc>
        <w:tc>
          <w:tcPr>
            <w:tcW w:type="dxa" w:w="2160"/>
          </w:tcPr>
          <w:p>
            <w:r>
              <w:t>Bidirectional</w:t>
            </w:r>
          </w:p>
        </w:tc>
        <w:tc>
          <w:tcPr>
            <w:tcW w:type="dxa" w:w="2160"/>
          </w:tcPr>
          <w:p>
            <w:r>
              <w:t>Real-time</w:t>
            </w:r>
          </w:p>
        </w:tc>
      </w:tr>
      <w:tr>
        <w:tc>
          <w:tcPr>
            <w:tcW w:type="dxa" w:w="2160"/>
          </w:tcPr>
          <w:p>
            <w:r>
              <w:t>Member notification system</w:t>
            </w:r>
          </w:p>
        </w:tc>
        <w:tc>
          <w:tcPr>
            <w:tcW w:type="dxa" w:w="2160"/>
          </w:tcPr>
          <w:p>
            <w:r>
              <w:t>Event-driven (message queue)</w:t>
            </w:r>
          </w:p>
        </w:tc>
        <w:tc>
          <w:tcPr>
            <w:tcW w:type="dxa" w:w="2160"/>
          </w:tcPr>
          <w:p>
            <w:r>
              <w:t>Write</w:t>
            </w:r>
          </w:p>
        </w:tc>
        <w:tc>
          <w:tcPr>
            <w:tcW w:type="dxa" w:w="2160"/>
          </w:tcPr>
          <w:p>
            <w:r>
              <w:t>Per determination</w:t>
            </w:r>
          </w:p>
        </w:tc>
      </w:tr>
      <w:tr>
        <w:tc>
          <w:tcPr>
            <w:tcW w:type="dxa" w:w="2160"/>
          </w:tcPr>
          <w:p>
            <w:r>
              <w:t>Data &amp; Cloud AI Platform Foundation</w:t>
            </w:r>
          </w:p>
        </w:tc>
        <w:tc>
          <w:tcPr>
            <w:tcW w:type="dxa" w:w="2160"/>
          </w:tcPr>
          <w:p>
            <w:r>
              <w:t>MLOps pipeline (internal)</w:t>
            </w:r>
          </w:p>
        </w:tc>
        <w:tc>
          <w:tcPr>
            <w:tcW w:type="dxa" w:w="2160"/>
          </w:tcPr>
          <w:p>
            <w:r>
              <w:t>Bidirectional</w:t>
            </w:r>
          </w:p>
        </w:tc>
        <w:tc>
          <w:tcPr>
            <w:tcW w:type="dxa" w:w="2160"/>
          </w:tcPr>
          <w:p>
            <w:r>
              <w:t>Model deployment, monitoring, retraining</w:t>
            </w:r>
          </w:p>
        </w:tc>
      </w:tr>
    </w:tbl>
    <w:p/>
    <w:p>
      <w:pPr>
        <w:pStyle w:val="Heading2"/>
      </w:pPr>
      <w:r>
        <w:t>9. Non-Functional Requirements</w:t>
      </w:r>
    </w:p>
    <w:p>
      <w:pPr>
        <w:pStyle w:val="Heading3"/>
      </w:pPr>
      <w:r>
        <w:t>9.1 Performance</w:t>
      </w:r>
    </w:p>
    <w:p>
      <w:pPr>
        <w:pStyle w:val="ListBullet"/>
      </w:pPr>
      <w:r>
        <w:t>API response time:FHIR PAS API P95 latency ≤ 2 seconds for synchronous status queries; ≤ 5 seconds for initial submission acknowledgment.</w:t>
      </w:r>
    </w:p>
    <w:p>
      <w:pPr>
        <w:pStyle w:val="ListBullet"/>
      </w:pPr>
      <w:r>
        <w:t>Model inference latency:End-to-end processing (document extraction + classification + clinical evaluation + explanation generation) ≤ 30 seconds per PA request for batch processing; ≤ 60 seconds for real-time API-submitted requests.</w:t>
      </w:r>
    </w:p>
    <w:p>
      <w:pPr>
        <w:pStyle w:val="ListBullet"/>
      </w:pPr>
      <w:r>
        <w:t>Throughput:System shall handle peak volume of 5,000 PA submissions per day (approximately 2× the average daily volume of 2,200, to accommodate seasonal spikes and open enrollment periods).</w:t>
      </w:r>
    </w:p>
    <w:p>
      <w:pPr>
        <w:pStyle w:val="Heading3"/>
      </w:pPr>
      <w:r>
        <w:t>9.2 Availability &amp; Disaster Recovery</w:t>
      </w:r>
    </w:p>
    <w:p>
      <w:pPr>
        <w:pStyle w:val="ListBullet"/>
      </w:pPr>
      <w:r>
        <w:t>Availability target:99.5% uptime (measured monthly), excluding scheduled maintenance windows.</w:t>
      </w:r>
    </w:p>
    <w:p>
      <w:pPr>
        <w:pStyle w:val="ListBullet"/>
      </w:pPr>
      <w:r>
        <w:t>RTO (Recovery Time Objective):4 hours for full system recovery.</w:t>
      </w:r>
    </w:p>
    <w:p>
      <w:pPr>
        <w:pStyle w:val="ListBullet"/>
      </w:pPr>
      <w:r>
        <w:t>RPO (Recovery Point Objective):1 hour — maximum data loss in disaster scenario.</w:t>
      </w:r>
    </w:p>
    <w:p>
      <w:pPr>
        <w:pStyle w:val="ListBullet"/>
      </w:pPr>
      <w:r>
        <w:t>Graceful degradation:If AI models are unavailable, the system shall fall back to manual routing — all PA requests go directly to the human review queue. The system must never silently drop PA requests.</w:t>
      </w:r>
    </w:p>
    <w:p>
      <w:pPr>
        <w:pStyle w:val="Heading3"/>
      </w:pPr>
      <w:r>
        <w:t>9.3 Security</w:t>
      </w:r>
    </w:p>
    <w:p>
      <w:pPr>
        <w:pStyle w:val="ListBullet"/>
      </w:pPr>
      <w:r>
        <w:t>All data encrypted at rest (AES-256) and in transit (TLS 1.3).</w:t>
      </w:r>
    </w:p>
    <w:p>
      <w:pPr>
        <w:pStyle w:val="ListBullet"/>
      </w:pPr>
      <w:r>
        <w:t>Role-based access control (RBAC) enforced for all system access. Clinical reviewers, administrators, and AI models have distinct permission sets.</w:t>
      </w:r>
    </w:p>
    <w:p>
      <w:pPr>
        <w:pStyle w:val="ListBullet"/>
      </w:pPr>
      <w:r>
        <w:t>Adversarial input testing: model inputs validated and sanitized to prevent prompt injection, data poisoning, and model inversion attacks.</w:t>
      </w:r>
    </w:p>
    <w:p>
      <w:pPr>
        <w:pStyle w:val="ListBullet"/>
      </w:pPr>
      <w:r>
        <w:t>Penetration testing conducted before production release and annually thereafter.</w:t>
      </w:r>
    </w:p>
    <w:p>
      <w:pPr>
        <w:pStyle w:val="ListBullet"/>
      </w:pPr>
      <w:r>
        <w:t>SOC 2 Type II compliance required for any cloud-hosted component.</w:t>
      </w:r>
    </w:p>
    <w:p>
      <w:pPr>
        <w:pStyle w:val="Heading2"/>
      </w:pPr>
      <w:r>
        <w:t>10. Human-in-the-Loop &amp; Override Requirements</w:t>
      </w:r>
    </w:p>
    <w:p>
      <w:pPr>
        <w:ind w:left="432"/>
      </w:pPr>
      <w:r>
        <w:rPr>
          <w:sz w:val="22"/>
        </w:rPr>
        <w:t>Non-Negotiable Constraint:The AI system cannot issue an adverse PA determination (denial or partial denial) without a licensed clinical reviewer confirming the decision. This is a hard design constraint, not a configurable setting. It cannot be disabled, overridden, or bypassed by any user, administrator, or system configuration. This constraint exists because (a) CMS and state regulations require human accountability for adverse coverage decisions, (b) legal liability for incorrect denials attaches to the human decision-maker and the organization, not to the AI model, and (c) theMoffatt v. Air Canadaprecedent established that organizations are liable for AI-generated outputs that harm consumers.</w:t>
      </w:r>
    </w:p>
    <w:p>
      <w:pPr>
        <w:pStyle w:val="Heading3"/>
      </w:pPr>
      <w:r>
        <w:t>10.1 Override Workflow</w:t>
      </w:r>
    </w:p>
    <w:p>
      <w:pPr>
        <w:pStyle w:val="ListBullet"/>
      </w:pPr>
      <w:r>
        <w:t>When a clinical reviewer overrides the AI recommendation (changes approval to denial or vice versa), the system shall require a structured override reason from a predefined code list (e.g., "additional clinical evidence not captured by AI," "medical policy interpretation differs," "edge case not covered by training data").</w:t>
      </w:r>
    </w:p>
    <w:p>
      <w:pPr>
        <w:pStyle w:val="ListBullet"/>
      </w:pPr>
      <w:r>
        <w:t>Override reasons are logged in the audit trail and aggregated monthly. Override patterns are analyzed by the AI CoE to identify model improvement opportunities.</w:t>
      </w:r>
    </w:p>
    <w:p>
      <w:pPr>
        <w:pStyle w:val="ListBullet"/>
      </w:pPr>
      <w:r>
        <w:t>Persistent override patterns (&gt;15% override rate in any service category over 3 consecutive months) trigger a model retraining assessment with a root-cause analysis presented to the AI Governance Board.</w:t>
      </w:r>
    </w:p>
    <w:p>
      <w:pPr>
        <w:pStyle w:val="Heading3"/>
      </w:pPr>
      <w:r>
        <w:t>10.2 Peer-to-Peer Review</w:t>
      </w:r>
    </w:p>
    <w:p>
      <w:pPr>
        <w:pStyle w:val="ListBullet"/>
      </w:pPr>
      <w:r>
        <w:t>For denied PA requests, the system shall support the peer-to-peer review process: providers may request a phone consultation with an ACME clinical reviewer to discuss the denial.</w:t>
      </w:r>
    </w:p>
    <w:p>
      <w:pPr>
        <w:pStyle w:val="ListBullet"/>
      </w:pPr>
      <w:r>
        <w:t>The AI case summary (clinical evidence, medical policy, recommendation rationale) shall be available to the reviewing clinician during the peer-to-peer call, enabling faster, more informed discussions.</w:t>
      </w:r>
    </w:p>
    <w:p>
      <w:pPr>
        <w:pStyle w:val="Heading2"/>
      </w:pPr>
      <w:r>
        <w:t>11. Fairness, Bias &amp; Responsible AI Requirements</w:t>
      </w:r>
    </w:p>
    <w:p>
      <w:pPr>
        <w:pStyle w:val="Heading3"/>
      </w:pPr>
      <w:r>
        <w:t>11.1 Fairness Testing (Pre-Production)</w:t>
      </w:r>
    </w:p>
    <w:p>
      <w:pPr>
        <w:pStyle w:val="ListBullet"/>
      </w:pPr>
      <w:r>
        <w:t>All models shall be tested for disparate impact across demographic groups: age bracket, gender, geography (urban/rural/suburban), plan type, and (where data permits) race/ethnicity.</w:t>
      </w:r>
    </w:p>
    <w:p>
      <w:pPr>
        <w:pStyle w:val="ListBullet"/>
      </w:pPr>
      <w:r>
        <w:t>Fairness threshold:No demographic group's approval or denial rate shall deviate &gt;5% from the population mean without documented clinical justification reviewed and accepted by the Chief Medical Officer (Dr. N. Patel).</w:t>
      </w:r>
    </w:p>
    <w:p>
      <w:pPr>
        <w:pStyle w:val="ListBullet"/>
      </w:pPr>
      <w:r>
        <w:t>Fairness testing is conducted by the Independent Model Validation team (P. Okafor), not by the delivery team. Results are presented to the AI Governance Board before production release approval.</w:t>
      </w:r>
    </w:p>
    <w:p>
      <w:pPr>
        <w:pStyle w:val="Heading3"/>
      </w:pPr>
      <w:r>
        <w:t>11.2 Ongoing Fairness Monitoring (Production)</w:t>
      </w:r>
    </w:p>
    <w:p>
      <w:pPr>
        <w:pStyle w:val="ListBullet"/>
      </w:pPr>
      <w:r>
        <w:t>Monthly demographic disparity analysis conducted by AI CoE using production decision data.</w:t>
      </w:r>
    </w:p>
    <w:p>
      <w:pPr>
        <w:pStyle w:val="ListBullet"/>
      </w:pPr>
      <w:r>
        <w:t>If any group's rate deviates &gt;5% from the population mean in production (and the deviation was not present in pre-production testing, or has grown beyond pre-production levels), the AI Governance Board is notified within 48 hours and a model investigation is initiated.</w:t>
      </w:r>
    </w:p>
    <w:p>
      <w:pPr>
        <w:pStyle w:val="Heading2"/>
      </w:pPr>
      <w:r>
        <w:t>12. Testing &amp; Validation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Test Type</w:t>
            </w:r>
          </w:p>
        </w:tc>
        <w:tc>
          <w:tcPr>
            <w:tcW w:type="dxa" w:w="2160"/>
          </w:tcPr>
          <w:p>
            <w:r>
              <w:t>Owner</w:t>
            </w:r>
          </w:p>
        </w:tc>
        <w:tc>
          <w:tcPr>
            <w:tcW w:type="dxa" w:w="2160"/>
          </w:tcPr>
          <w:p>
            <w:r>
              <w:t>Criteria</w:t>
            </w:r>
          </w:p>
        </w:tc>
        <w:tc>
          <w:tcPr>
            <w:tcW w:type="dxa" w:w="2160"/>
          </w:tcPr>
          <w:p>
            <w:r>
              <w:t>Phase</w:t>
            </w:r>
          </w:p>
        </w:tc>
      </w:tr>
      <w:tr>
        <w:tc>
          <w:tcPr>
            <w:tcW w:type="dxa" w:w="2160"/>
          </w:tcPr>
          <w:p>
            <w:r>
              <w:t>Unit Testing</w:t>
            </w:r>
          </w:p>
        </w:tc>
        <w:tc>
          <w:tcPr>
            <w:tcW w:type="dxa" w:w="2160"/>
          </w:tcPr>
          <w:p>
            <w:r>
              <w:t>BRD-01 development team</w:t>
            </w:r>
          </w:p>
        </w:tc>
        <w:tc>
          <w:tcPr>
            <w:tcW w:type="dxa" w:w="2160"/>
          </w:tcPr>
          <w:p>
            <w:r>
              <w:t>≥ 80% code coverage</w:t>
            </w:r>
          </w:p>
        </w:tc>
        <w:tc>
          <w:tcPr>
            <w:tcW w:type="dxa" w:w="2160"/>
          </w:tcPr>
          <w:p>
            <w:r>
              <w:t>Phase 2 (continuous)</w:t>
            </w:r>
          </w:p>
        </w:tc>
      </w:tr>
      <w:tr>
        <w:tc>
          <w:tcPr>
            <w:tcW w:type="dxa" w:w="2160"/>
          </w:tcPr>
          <w:p>
            <w:r>
              <w:t>Integration Testing</w:t>
            </w:r>
          </w:p>
        </w:tc>
        <w:tc>
          <w:tcPr>
            <w:tcW w:type="dxa" w:w="2160"/>
          </w:tcPr>
          <w:p>
            <w:r>
              <w:t>QA team (V. Müller)</w:t>
            </w:r>
          </w:p>
        </w:tc>
        <w:tc>
          <w:tcPr>
            <w:tcW w:type="dxa" w:w="2160"/>
          </w:tcPr>
          <w:p>
            <w:r>
              <w:t>All 8 integrations tested end-to-end</w:t>
            </w:r>
          </w:p>
        </w:tc>
        <w:tc>
          <w:tcPr>
            <w:tcW w:type="dxa" w:w="2160"/>
          </w:tcPr>
          <w:p>
            <w:r>
              <w:t>Phase 2</w:t>
            </w:r>
          </w:p>
        </w:tc>
      </w:tr>
      <w:tr>
        <w:tc>
          <w:tcPr>
            <w:tcW w:type="dxa" w:w="2160"/>
          </w:tcPr>
          <w:p>
            <w:r>
              <w:t>Model Accuracy Testing</w:t>
            </w:r>
          </w:p>
        </w:tc>
        <w:tc>
          <w:tcPr>
            <w:tcW w:type="dxa" w:w="2160"/>
          </w:tcPr>
          <w:p>
            <w:r>
              <w:t>Independent Validation (P. Okafor)</w:t>
            </w:r>
          </w:p>
        </w:tc>
        <w:tc>
          <w:tcPr>
            <w:tcW w:type="dxa" w:w="2160"/>
          </w:tcPr>
          <w:p>
            <w:r>
              <w:t>All 5 models meet accuracy targets (Section 6.1)</w:t>
            </w:r>
          </w:p>
        </w:tc>
        <w:tc>
          <w:tcPr>
            <w:tcW w:type="dxa" w:w="2160"/>
          </w:tcPr>
          <w:p>
            <w:r>
              <w:t>Phase 3</w:t>
            </w:r>
          </w:p>
        </w:tc>
      </w:tr>
      <w:tr>
        <w:tc>
          <w:tcPr>
            <w:tcW w:type="dxa" w:w="2160"/>
          </w:tcPr>
          <w:p>
            <w:r>
              <w:t>Fairness / Bias Testing</w:t>
            </w:r>
          </w:p>
        </w:tc>
        <w:tc>
          <w:tcPr>
            <w:tcW w:type="dxa" w:w="2160"/>
          </w:tcPr>
          <w:p>
            <w:r>
              <w:t>Independent Validation (P. Okafor)</w:t>
            </w:r>
          </w:p>
        </w:tc>
        <w:tc>
          <w:tcPr>
            <w:tcW w:type="dxa" w:w="2160"/>
          </w:tcPr>
          <w:p>
            <w:r>
              <w:t>≤ 5% demographic deviation (Section 11.1)</w:t>
            </w:r>
          </w:p>
        </w:tc>
        <w:tc>
          <w:tcPr>
            <w:tcW w:type="dxa" w:w="2160"/>
          </w:tcPr>
          <w:p>
            <w:r>
              <w:t>Phase 3</w:t>
            </w:r>
          </w:p>
        </w:tc>
      </w:tr>
      <w:tr>
        <w:tc>
          <w:tcPr>
            <w:tcW w:type="dxa" w:w="2160"/>
          </w:tcPr>
          <w:p>
            <w:r>
              <w:t>Explainability Review</w:t>
            </w:r>
          </w:p>
        </w:tc>
        <w:tc>
          <w:tcPr>
            <w:tcW w:type="dxa" w:w="2160"/>
          </w:tcPr>
          <w:p>
            <w:r>
              <w:t>Independent Validation (P. Okafor)</w:t>
            </w:r>
          </w:p>
        </w:tc>
        <w:tc>
          <w:tcPr>
            <w:tcW w:type="dxa" w:w="2160"/>
          </w:tcPr>
          <w:p>
            <w:r>
              <w:t>Zero hallucinated explanations; readability ≤ grade 8</w:t>
            </w:r>
          </w:p>
        </w:tc>
        <w:tc>
          <w:tcPr>
            <w:tcW w:type="dxa" w:w="2160"/>
          </w:tcPr>
          <w:p>
            <w:r>
              <w:t>Phase 3</w:t>
            </w:r>
          </w:p>
        </w:tc>
      </w:tr>
      <w:tr>
        <w:tc>
          <w:tcPr>
            <w:tcW w:type="dxa" w:w="2160"/>
          </w:tcPr>
          <w:p>
            <w:r>
              <w:t>Security / Adversarial Testing</w:t>
            </w:r>
          </w:p>
        </w:tc>
        <w:tc>
          <w:tcPr>
            <w:tcW w:type="dxa" w:w="2160"/>
          </w:tcPr>
          <w:p>
            <w:r>
              <w:t>Cybersecurity (M. Hassan)</w:t>
            </w:r>
          </w:p>
        </w:tc>
        <w:tc>
          <w:tcPr>
            <w:tcW w:type="dxa" w:w="2160"/>
          </w:tcPr>
          <w:p>
            <w:r>
              <w:t>Zero Critical, zero High at release</w:t>
            </w:r>
          </w:p>
        </w:tc>
        <w:tc>
          <w:tcPr>
            <w:tcW w:type="dxa" w:w="2160"/>
          </w:tcPr>
          <w:p>
            <w:r>
              <w:t>Phase 3</w:t>
            </w:r>
          </w:p>
        </w:tc>
      </w:tr>
      <w:tr>
        <w:tc>
          <w:tcPr>
            <w:tcW w:type="dxa" w:w="2160"/>
          </w:tcPr>
          <w:p>
            <w:r>
              <w:t>Performance / Load Testing</w:t>
            </w:r>
          </w:p>
        </w:tc>
        <w:tc>
          <w:tcPr>
            <w:tcW w:type="dxa" w:w="2160"/>
          </w:tcPr>
          <w:p>
            <w:r>
              <w:t>QA team</w:t>
            </w:r>
          </w:p>
        </w:tc>
        <w:tc>
          <w:tcPr>
            <w:tcW w:type="dxa" w:w="2160"/>
          </w:tcPr>
          <w:p>
            <w:r>
              <w:t>P95 latency within thresholds at 2× peak volume</w:t>
            </w:r>
          </w:p>
        </w:tc>
        <w:tc>
          <w:tcPr>
            <w:tcW w:type="dxa" w:w="2160"/>
          </w:tcPr>
          <w:p>
            <w:r>
              <w:t>Phase 3</w:t>
            </w:r>
          </w:p>
        </w:tc>
      </w:tr>
      <w:tr>
        <w:tc>
          <w:tcPr>
            <w:tcW w:type="dxa" w:w="2160"/>
          </w:tcPr>
          <w:p>
            <w:r>
              <w:t>DR/BCP Testing</w:t>
            </w:r>
          </w:p>
        </w:tc>
        <w:tc>
          <w:tcPr>
            <w:tcW w:type="dxa" w:w="2160"/>
          </w:tcPr>
          <w:p>
            <w:r>
              <w:t>IT Ops (H. Nakamura)</w:t>
            </w:r>
          </w:p>
        </w:tc>
        <w:tc>
          <w:tcPr>
            <w:tcW w:type="dxa" w:w="2160"/>
          </w:tcPr>
          <w:p>
            <w:r>
              <w:t>Recovery within RTO/RPO targets</w:t>
            </w:r>
          </w:p>
        </w:tc>
        <w:tc>
          <w:tcPr>
            <w:tcW w:type="dxa" w:w="2160"/>
          </w:tcPr>
          <w:p>
            <w:r>
              <w:t>Phase 3</w:t>
            </w:r>
          </w:p>
        </w:tc>
      </w:tr>
      <w:tr>
        <w:tc>
          <w:tcPr>
            <w:tcW w:type="dxa" w:w="2160"/>
          </w:tcPr>
          <w:p>
            <w:r>
              <w:t>Pilot UAT</w:t>
            </w:r>
          </w:p>
        </w:tc>
        <w:tc>
          <w:tcPr>
            <w:tcW w:type="dxa" w:w="2160"/>
          </w:tcPr>
          <w:p>
            <w:r>
              <w:t>Operational Testing Mgr (Y. Sorensen6)</w:t>
            </w:r>
          </w:p>
        </w:tc>
        <w:tc>
          <w:tcPr>
            <w:tcW w:type="dxa" w:w="2160"/>
          </w:tcPr>
          <w:p>
            <w:r>
              <w:t>≥ 95% pass rate with controlled user group</w:t>
            </w:r>
          </w:p>
        </w:tc>
        <w:tc>
          <w:tcPr>
            <w:tcW w:type="dxa" w:w="2160"/>
          </w:tcPr>
          <w:p>
            <w:r>
              <w:t>Phase 3</w:t>
            </w:r>
          </w:p>
        </w:tc>
      </w:tr>
      <w:tr>
        <w:tc>
          <w:tcPr>
            <w:tcW w:type="dxa" w:w="2160"/>
          </w:tcPr>
          <w:p>
            <w:r>
              <w:t>Full UAT</w:t>
            </w:r>
          </w:p>
        </w:tc>
        <w:tc>
          <w:tcPr>
            <w:tcW w:type="dxa" w:w="2160"/>
          </w:tcPr>
          <w:p>
            <w:r>
              <w:t>Operational Testing Mgr</w:t>
            </w:r>
          </w:p>
        </w:tc>
        <w:tc>
          <w:tcPr>
            <w:tcW w:type="dxa" w:w="2160"/>
          </w:tcPr>
          <w:p>
            <w:r>
              <w:t>≥ 95% pass rate; zero open Critical/High defects</w:t>
            </w:r>
          </w:p>
        </w:tc>
        <w:tc>
          <w:tcPr>
            <w:tcW w:type="dxa" w:w="2160"/>
          </w:tcPr>
          <w:p>
            <w:r>
              <w:t>Phase 3/4</w:t>
            </w:r>
          </w:p>
        </w:tc>
      </w:tr>
    </w:tbl>
    <w:p/>
    <w:p>
      <w:pPr>
        <w:pStyle w:val="Heading2"/>
      </w:pPr>
      <w:r>
        <w:t>13. Acceptance Criteria &amp; Definition of Done</w:t>
      </w:r>
    </w:p>
    <w:p>
      <w:r>
        <w:t>BRD-01 is accepted into production when ALL of the following criteria are met:</w:t>
      </w:r>
    </w:p>
    <w:p>
      <w:pPr>
        <w:pStyle w:val="ListNumber"/>
      </w:pPr>
      <w:r>
        <w:t>All "Must" functional requirements (FR-01.001 through FR-01.017) implemented and tested</w:t>
      </w:r>
    </w:p>
    <w:p>
      <w:pPr>
        <w:pStyle w:val="ListNumber"/>
      </w:pPr>
      <w:r>
        <w:t>All 5 AI models pass Independent Model Validation (zero Critical, zero uncorrected High)</w:t>
      </w:r>
    </w:p>
    <w:p>
      <w:pPr>
        <w:pStyle w:val="ListNumber"/>
      </w:pPr>
      <w:r>
        <w:t>Fairness testing passed (≤ 5% demographic deviation)</w:t>
      </w:r>
    </w:p>
    <w:p>
      <w:pPr>
        <w:pStyle w:val="ListNumber"/>
      </w:pPr>
      <w:r>
        <w:t>UAT passed (≥ 95% pass rate, zero open Critical/High defects)</w:t>
      </w:r>
    </w:p>
    <w:p>
      <w:pPr>
        <w:pStyle w:val="ListNumber"/>
      </w:pPr>
      <w:r>
        <w:t>Security testing passed (zero Critical/High findings)</w:t>
      </w:r>
    </w:p>
    <w:p>
      <w:pPr>
        <w:pStyle w:val="ListNumber"/>
      </w:pPr>
      <w:r>
        <w:t>Performance testing passed (all latency and throughput targets met at 2× peak volume)</w:t>
      </w:r>
    </w:p>
    <w:p>
      <w:pPr>
        <w:pStyle w:val="ListNumber"/>
      </w:pPr>
      <w:r>
        <w:t>DR/BCP test passed (recovery within RTO/RPO)</w:t>
      </w:r>
    </w:p>
    <w:p>
      <w:pPr>
        <w:pStyle w:val="ListNumber"/>
      </w:pPr>
      <w:r>
        <w:t>Human-in-the-loop workflow verified (adverse determination cannot proceed without human confirmation)</w:t>
      </w:r>
    </w:p>
    <w:p>
      <w:pPr>
        <w:pStyle w:val="ListNumber"/>
      </w:pPr>
      <w:r>
        <w:t>Audit trail verified (complete, immutable, queryable)</w:t>
      </w:r>
    </w:p>
    <w:p>
      <w:pPr>
        <w:pStyle w:val="ListNumber"/>
      </w:pPr>
      <w:r>
        <w:t>CMS-0057-F compliance verified (API conformance, decision timelines, denial-reason structure, reporting capability)</w:t>
      </w:r>
    </w:p>
    <w:p>
      <w:pPr>
        <w:pStyle w:val="ListNumber"/>
      </w:pPr>
      <w:r>
        <w:t>All 3 governance boards sign off at Phase 3 gate</w:t>
      </w:r>
    </w:p>
    <w:p>
      <w:pPr>
        <w:pStyle w:val="ListNumber"/>
      </w:pPr>
      <w:r>
        <w:t>Production monitoring dashboards operational</w:t>
      </w:r>
    </w:p>
    <w:p>
      <w:pPr>
        <w:pStyle w:val="ListNumber"/>
      </w:pPr>
      <w:r>
        <w:t>Runbook and operational documentation delivered to IT Operations</w:t>
      </w:r>
    </w:p>
    <w:p>
      <w:pPr>
        <w:pStyle w:val="Heading2"/>
      </w:pPr>
      <w:r>
        <w:t>14. Constraints, Assumptions &amp; Dependencies</w:t>
      </w:r>
    </w:p>
    <w:p>
      <w:pPr>
        <w:pStyle w:val="Heading3"/>
      </w:pPr>
      <w:r>
        <w:t>14.1 Constraints</w:t>
      </w:r>
    </w:p>
    <w:p>
      <w:pPr>
        <w:pStyle w:val="ListBullet"/>
      </w:pPr>
      <w:r>
        <w:t>All PHI data onshore US only (no offshore access to real PA data)</w:t>
      </w:r>
    </w:p>
    <w:p>
      <w:pPr>
        <w:pStyle w:val="ListBullet"/>
      </w:pPr>
      <w:r>
        <w:t>Human review mandatory for all adverse determinations (non-negotiable)</w:t>
      </w:r>
    </w:p>
    <w:p>
      <w:pPr>
        <w:pStyle w:val="ListBullet"/>
      </w:pPr>
      <w:r>
        <w:t>Model explainability required for all determination types (no black-box models)</w:t>
      </w:r>
    </w:p>
    <w:p>
      <w:pPr>
        <w:pStyle w:val="ListBullet"/>
      </w:pPr>
      <w:r>
        <w:t>CMS-0057-F compliance is a prerequisite, not an option</w:t>
      </w:r>
    </w:p>
    <w:p>
      <w:pPr>
        <w:pStyle w:val="Heading3"/>
      </w:pPr>
      <w:r>
        <w:t>14.2 Assumptions</w:t>
      </w:r>
    </w:p>
    <w:p>
      <w:pPr>
        <w:pStyle w:val="ListBullet"/>
      </w:pPr>
      <w:r>
        <w:t>ACME's baseline CMS-0057-F compliance project delivers FHIR API endpoints on schedule (independent project)</w:t>
      </w:r>
    </w:p>
    <w:p>
      <w:pPr>
        <w:pStyle w:val="ListBullet"/>
      </w:pPr>
      <w:r>
        <w:t>Historical PA data (3 years, 500K+ cases) is available and of sufficient quality for model training (validated Phase 0; RAIDD R-01 addresses data quality risk)</w:t>
      </w:r>
    </w:p>
    <w:p>
      <w:pPr>
        <w:pStyle w:val="ListBullet"/>
      </w:pPr>
      <w:r>
        <w:t>Medical policy guidelines are machine-readable or can be converted to machine-readable format within Phase 1</w:t>
      </w:r>
    </w:p>
    <w:p>
      <w:pPr>
        <w:pStyle w:val="ListBullet"/>
      </w:pPr>
      <w:r>
        <w:t>Clinical reviewer pool (3 ACME FTEs) is available for human-in-the-loop operations</w:t>
      </w:r>
    </w:p>
    <w:p>
      <w:pPr>
        <w:pStyle w:val="Heading3"/>
      </w:pPr>
      <w:r>
        <w:t>14.3 Dependencies</w:t>
      </w:r>
    </w:p>
    <w:p>
      <w:pPr>
        <w:pStyle w:val="ListBullet"/>
      </w:pPr>
      <w:r>
        <w:t>DEP-02: AI Governance &amp; CoE Charter (Phase 0) completed before JAD sessions begin</w:t>
      </w:r>
    </w:p>
    <w:p>
      <w:pPr>
        <w:pStyle w:val="ListBullet"/>
      </w:pPr>
      <w:r>
        <w:t>DEP-03: Data &amp; Cloud Platform Foundation live before model build accelerates</w:t>
      </w:r>
    </w:p>
    <w:p>
      <w:pPr>
        <w:pStyle w:val="ListBullet"/>
      </w:pPr>
      <w:r>
        <w:t>DEP-06: ACME baseline CMS-0057-F API endpoints available for BRD-01 integration testing</w:t>
      </w:r>
    </w:p>
    <w:p>
      <w:pPr>
        <w:pStyle w:val="Heading2"/>
      </w:pPr>
      <w:r>
        <w:t>15. Regulatory Traceability Matrix</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Regulation</w:t>
            </w:r>
          </w:p>
        </w:tc>
        <w:tc>
          <w:tcPr>
            <w:tcW w:type="dxa" w:w="2160"/>
          </w:tcPr>
          <w:p>
            <w:r>
              <w:t>Requirement</w:t>
            </w:r>
          </w:p>
        </w:tc>
        <w:tc>
          <w:tcPr>
            <w:tcW w:type="dxa" w:w="2160"/>
          </w:tcPr>
          <w:p>
            <w:r>
              <w:t>BRD-01 Implementation</w:t>
            </w:r>
          </w:p>
        </w:tc>
        <w:tc>
          <w:tcPr>
            <w:tcW w:type="dxa" w:w="2160"/>
          </w:tcPr>
          <w:p>
            <w:r>
              <w:t>Verification</w:t>
            </w:r>
          </w:p>
        </w:tc>
      </w:tr>
      <w:tr>
        <w:tc>
          <w:tcPr>
            <w:tcW w:type="dxa" w:w="2160"/>
          </w:tcPr>
          <w:p>
            <w:r>
              <w:t>CMS-0057-F §A</w:t>
            </w:r>
          </w:p>
        </w:tc>
        <w:tc>
          <w:tcPr>
            <w:tcW w:type="dxa" w:w="2160"/>
          </w:tcPr>
          <w:p>
            <w:r>
              <w:t>Decision within 72 hrs (urgent) / 7 days (standard)</w:t>
            </w:r>
          </w:p>
        </w:tc>
        <w:tc>
          <w:tcPr>
            <w:tcW w:type="dxa" w:w="2160"/>
          </w:tcPr>
          <w:p>
            <w:r>
              <w:t>FR-01.011 (automated deadline tracking + escalation)</w:t>
            </w:r>
          </w:p>
        </w:tc>
        <w:tc>
          <w:tcPr>
            <w:tcW w:type="dxa" w:w="2160"/>
          </w:tcPr>
          <w:p>
            <w:r>
              <w:t>Production metrics reporting (FR-01.016)</w:t>
            </w:r>
          </w:p>
        </w:tc>
      </w:tr>
      <w:tr>
        <w:tc>
          <w:tcPr>
            <w:tcW w:type="dxa" w:w="2160"/>
          </w:tcPr>
          <w:p>
            <w:r>
              <w:t>CMS-0057-F §B</w:t>
            </w:r>
          </w:p>
        </w:tc>
        <w:tc>
          <w:tcPr>
            <w:tcW w:type="dxa" w:w="2160"/>
          </w:tcPr>
          <w:p>
            <w:r>
              <w:t>FHIR-based Prior Authorization API</w:t>
            </w:r>
          </w:p>
        </w:tc>
        <w:tc>
          <w:tcPr>
            <w:tcW w:type="dxa" w:w="2160"/>
          </w:tcPr>
          <w:p>
            <w:r>
              <w:t>FR-01.001 (Da Vinci PAS API)</w:t>
            </w:r>
          </w:p>
        </w:tc>
        <w:tc>
          <w:tcPr>
            <w:tcW w:type="dxa" w:w="2160"/>
          </w:tcPr>
          <w:p>
            <w:r>
              <w:t>Integration testing + FHIR conformance testing</w:t>
            </w:r>
          </w:p>
        </w:tc>
      </w:tr>
      <w:tr>
        <w:tc>
          <w:tcPr>
            <w:tcW w:type="dxa" w:w="2160"/>
          </w:tcPr>
          <w:p>
            <w:r>
              <w:t>CMS-0057-F §C</w:t>
            </w:r>
          </w:p>
        </w:tc>
        <w:tc>
          <w:tcPr>
            <w:tcW w:type="dxa" w:w="2160"/>
          </w:tcPr>
          <w:p>
            <w:r>
              <w:t>Specific denial reasons (machine-readable)</w:t>
            </w:r>
          </w:p>
        </w:tc>
        <w:tc>
          <w:tcPr>
            <w:tcW w:type="dxa" w:w="2160"/>
          </w:tcPr>
          <w:p>
            <w:r>
              <w:t>FR-01.012 (structured explanation generator)</w:t>
            </w:r>
          </w:p>
        </w:tc>
        <w:tc>
          <w:tcPr>
            <w:tcW w:type="dxa" w:w="2160"/>
          </w:tcPr>
          <w:p>
            <w:r>
              <w:t>Model validation + UAT</w:t>
            </w:r>
          </w:p>
        </w:tc>
      </w:tr>
      <w:tr>
        <w:tc>
          <w:tcPr>
            <w:tcW w:type="dxa" w:w="2160"/>
          </w:tcPr>
          <w:p>
            <w:r>
              <w:t>CMS-0057-F §D</w:t>
            </w:r>
          </w:p>
        </w:tc>
        <w:tc>
          <w:tcPr>
            <w:tcW w:type="dxa" w:w="2160"/>
          </w:tcPr>
          <w:p>
            <w:r>
              <w:t>Public PA metrics reporting</w:t>
            </w:r>
          </w:p>
        </w:tc>
        <w:tc>
          <w:tcPr>
            <w:tcW w:type="dxa" w:w="2160"/>
          </w:tcPr>
          <w:p>
            <w:r>
              <w:t>FR-01.016 (automated reporting capability)</w:t>
            </w:r>
          </w:p>
        </w:tc>
        <w:tc>
          <w:tcPr>
            <w:tcW w:type="dxa" w:w="2160"/>
          </w:tcPr>
          <w:p>
            <w:r>
              <w:t>Report validation against manual audit</w:t>
            </w:r>
          </w:p>
        </w:tc>
      </w:tr>
      <w:tr>
        <w:tc>
          <w:tcPr>
            <w:tcW w:type="dxa" w:w="2160"/>
          </w:tcPr>
          <w:p>
            <w:r>
              <w:t>Colorado SB 21-169</w:t>
            </w:r>
          </w:p>
        </w:tc>
        <w:tc>
          <w:tcPr>
            <w:tcW w:type="dxa" w:w="2160"/>
          </w:tcPr>
          <w:p>
            <w:r>
              <w:t>Test for unfair discrimination in AI coverage decisions</w:t>
            </w:r>
          </w:p>
        </w:tc>
        <w:tc>
          <w:tcPr>
            <w:tcW w:type="dxa" w:w="2160"/>
          </w:tcPr>
          <w:p>
            <w:r>
              <w:t>Section 11 (fairness testing, ≤5% deviation threshold)</w:t>
            </w:r>
          </w:p>
        </w:tc>
        <w:tc>
          <w:tcPr>
            <w:tcW w:type="dxa" w:w="2160"/>
          </w:tcPr>
          <w:p>
            <w:r>
              <w:t>Independent Model Validation report</w:t>
            </w:r>
          </w:p>
        </w:tc>
      </w:tr>
      <w:tr>
        <w:tc>
          <w:tcPr>
            <w:tcW w:type="dxa" w:w="2160"/>
          </w:tcPr>
          <w:p>
            <w:r>
              <w:t>Connecticut SB 1103</w:t>
            </w:r>
          </w:p>
        </w:tc>
        <w:tc>
          <w:tcPr>
            <w:tcW w:type="dxa" w:w="2160"/>
          </w:tcPr>
          <w:p>
            <w:r>
              <w:t>Human review of adverse AI decisions</w:t>
            </w:r>
          </w:p>
        </w:tc>
        <w:tc>
          <w:tcPr>
            <w:tcW w:type="dxa" w:w="2160"/>
          </w:tcPr>
          <w:p>
            <w:r>
              <w:t>Section 10 (mandatory human-in-the-loop for denials)</w:t>
            </w:r>
          </w:p>
        </w:tc>
        <w:tc>
          <w:tcPr>
            <w:tcW w:type="dxa" w:w="2160"/>
          </w:tcPr>
          <w:p>
            <w:r>
              <w:t>Workflow verification in UAT</w:t>
            </w:r>
          </w:p>
        </w:tc>
      </w:tr>
      <w:tr>
        <w:tc>
          <w:tcPr>
            <w:tcW w:type="dxa" w:w="2160"/>
          </w:tcPr>
          <w:p>
            <w:r>
              <w:t>HIPAA</w:t>
            </w:r>
          </w:p>
        </w:tc>
        <w:tc>
          <w:tcPr>
            <w:tcW w:type="dxa" w:w="2160"/>
          </w:tcPr>
          <w:p>
            <w:r>
              <w:t>PHI protection</w:t>
            </w:r>
          </w:p>
        </w:tc>
        <w:tc>
          <w:tcPr>
            <w:tcW w:type="dxa" w:w="2160"/>
          </w:tcPr>
          <w:p>
            <w:r>
              <w:t>Section 9.3 (encryption, RBAC, audit) + Section 7 (data residency)</w:t>
            </w:r>
          </w:p>
        </w:tc>
        <w:tc>
          <w:tcPr>
            <w:tcW w:type="dxa" w:w="2160"/>
          </w:tcPr>
          <w:p>
            <w:r>
              <w:t>Security testing + privacy impact assessment</w:t>
            </w:r>
          </w:p>
        </w:tc>
      </w:tr>
      <w:tr>
        <w:tc>
          <w:tcPr>
            <w:tcW w:type="dxa" w:w="2160"/>
          </w:tcPr>
          <w:p>
            <w:r>
              <w:t>NIST AI RMF</w:t>
            </w:r>
          </w:p>
        </w:tc>
        <w:tc>
          <w:tcPr>
            <w:tcW w:type="dxa" w:w="2160"/>
          </w:tcPr>
          <w:p>
            <w:r>
              <w:t>Govern, Map, Measure, Manage</w:t>
            </w:r>
          </w:p>
        </w:tc>
        <w:tc>
          <w:tcPr>
            <w:tcW w:type="dxa" w:w="2160"/>
          </w:tcPr>
          <w:p>
            <w:r>
              <w:t>Entire BRD operates under AI Governance framework (Section 16)</w:t>
            </w:r>
          </w:p>
        </w:tc>
        <w:tc>
          <w:tcPr>
            <w:tcW w:type="dxa" w:w="2160"/>
          </w:tcPr>
          <w:p>
            <w:r>
              <w:t>AI Governance Board oversight</w:t>
            </w:r>
          </w:p>
        </w:tc>
      </w:tr>
    </w:tbl>
    <w:p/>
    <w:p>
      <w:pPr>
        <w:pStyle w:val="Heading2"/>
      </w:pPr>
      <w:r>
        <w:t>16. BRD-01 Delivery Team &amp; Governance</w:t>
      </w:r>
    </w:p>
    <w:p>
      <w:r>
        <w:t>Team size:28 people.Lead:F. Bennett (Pulaski). Full roster inResource Plan, Team 21.</w:t>
      </w:r>
    </w:p>
    <w:p>
      <w:r>
        <w:t>Governance:BRD-01 operates under the full Project Catalyst governance framework: three-board sign-off at phase gates, AI Governance Board model-release authority, Independent Model Validation blocking gate, and JAD session requirements development. Sprint-level execution uses 2-week sprints with Scrum Master (Z. Okoro3), Product Manager (M. Beaumont2), and daily standups.</w:t>
      </w:r>
    </w:p>
    <w:p>
      <w:pPr>
        <w:pStyle w:val="Heading2"/>
      </w:pPr>
      <w:r>
        <w:t>17. Sign-Off &amp; Approval</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Role</w:t>
            </w:r>
          </w:p>
        </w:tc>
        <w:tc>
          <w:tcPr>
            <w:tcW w:type="dxa" w:w="2160"/>
          </w:tcPr>
          <w:p>
            <w:r>
              <w:t>Name</w:t>
            </w:r>
          </w:p>
        </w:tc>
        <w:tc>
          <w:tcPr>
            <w:tcW w:type="dxa" w:w="2160"/>
          </w:tcPr>
          <w:p>
            <w:r>
              <w:t>Sign-Off Scope</w:t>
            </w:r>
          </w:p>
        </w:tc>
        <w:tc>
          <w:tcPr>
            <w:tcW w:type="dxa" w:w="2160"/>
          </w:tcPr>
          <w:p>
            <w:r>
              <w:t>Status</w:t>
            </w:r>
          </w:p>
        </w:tc>
      </w:tr>
      <w:tr>
        <w:tc>
          <w:tcPr>
            <w:tcW w:type="dxa" w:w="2160"/>
          </w:tcPr>
          <w:p>
            <w:r>
              <w:t>Business Sponsor</w:t>
            </w:r>
          </w:p>
        </w:tc>
        <w:tc>
          <w:tcPr>
            <w:tcW w:type="dxa" w:w="2160"/>
          </w:tcPr>
          <w:p>
            <w:r>
              <w:t>Dr. N. Patel (CMO)</w:t>
            </w:r>
          </w:p>
        </w:tc>
        <w:tc>
          <w:tcPr>
            <w:tcW w:type="dxa" w:w="2160"/>
          </w:tcPr>
          <w:p>
            <w:r>
              <w:t>Business requirements, clinical validity</w:t>
            </w:r>
          </w:p>
        </w:tc>
        <w:tc>
          <w:tcPr>
            <w:tcW w:type="dxa" w:w="2160"/>
          </w:tcPr>
          <w:p>
            <w:r>
              <w:t>Approved — Phase 1 Gate</w:t>
            </w:r>
          </w:p>
        </w:tc>
      </w:tr>
      <w:tr>
        <w:tc>
          <w:tcPr>
            <w:tcW w:type="dxa" w:w="2160"/>
          </w:tcPr>
          <w:p>
            <w:r>
              <w:t>Legal Counsel</w:t>
            </w:r>
          </w:p>
        </w:tc>
        <w:tc>
          <w:tcPr>
            <w:tcW w:type="dxa" w:w="2160"/>
          </w:tcPr>
          <w:p>
            <w:r>
              <w:t>R. Thorne</w:t>
            </w:r>
          </w:p>
        </w:tc>
        <w:tc>
          <w:tcPr>
            <w:tcW w:type="dxa" w:w="2160"/>
          </w:tcPr>
          <w:p>
            <w:r>
              <w:t>Legal/liability acceptability</w:t>
            </w:r>
          </w:p>
        </w:tc>
        <w:tc>
          <w:tcPr>
            <w:tcW w:type="dxa" w:w="2160"/>
          </w:tcPr>
          <w:p>
            <w:r>
              <w:t>Approved — Phase 1 Gate</w:t>
            </w:r>
          </w:p>
        </w:tc>
      </w:tr>
      <w:tr>
        <w:tc>
          <w:tcPr>
            <w:tcW w:type="dxa" w:w="2160"/>
          </w:tcPr>
          <w:p>
            <w:r>
              <w:t>VP Compliance</w:t>
            </w:r>
          </w:p>
        </w:tc>
        <w:tc>
          <w:tcPr>
            <w:tcW w:type="dxa" w:w="2160"/>
          </w:tcPr>
          <w:p>
            <w:r>
              <w:t>J. Martinez</w:t>
            </w:r>
          </w:p>
        </w:tc>
        <w:tc>
          <w:tcPr>
            <w:tcW w:type="dxa" w:w="2160"/>
          </w:tcPr>
          <w:p>
            <w:r>
              <w:t>CMS/state regulatory alignment</w:t>
            </w:r>
          </w:p>
        </w:tc>
        <w:tc>
          <w:tcPr>
            <w:tcW w:type="dxa" w:w="2160"/>
          </w:tcPr>
          <w:p>
            <w:r>
              <w:t>Approved — Phase 1 Gate</w:t>
            </w:r>
          </w:p>
        </w:tc>
      </w:tr>
      <w:tr>
        <w:tc>
          <w:tcPr>
            <w:tcW w:type="dxa" w:w="2160"/>
          </w:tcPr>
          <w:p>
            <w:r>
              <w:t>Chief Architect</w:t>
            </w:r>
          </w:p>
        </w:tc>
        <w:tc>
          <w:tcPr>
            <w:tcW w:type="dxa" w:w="2160"/>
          </w:tcPr>
          <w:p>
            <w:r>
              <w:t>D. Chen</w:t>
            </w:r>
          </w:p>
        </w:tc>
        <w:tc>
          <w:tcPr>
            <w:tcW w:type="dxa" w:w="2160"/>
          </w:tcPr>
          <w:p>
            <w:r>
              <w:t>Technical feasibility, architecture fit</w:t>
            </w:r>
          </w:p>
        </w:tc>
        <w:tc>
          <w:tcPr>
            <w:tcW w:type="dxa" w:w="2160"/>
          </w:tcPr>
          <w:p>
            <w:r>
              <w:t>Approved — Phase 1 Gate</w:t>
            </w:r>
          </w:p>
        </w:tc>
      </w:tr>
      <w:tr>
        <w:tc>
          <w:tcPr>
            <w:tcW w:type="dxa" w:w="2160"/>
          </w:tcPr>
          <w:p>
            <w:r>
              <w:t>CISO</w:t>
            </w:r>
          </w:p>
        </w:tc>
        <w:tc>
          <w:tcPr>
            <w:tcW w:type="dxa" w:w="2160"/>
          </w:tcPr>
          <w:p>
            <w:r>
              <w:t>M. Hassan</w:t>
            </w:r>
          </w:p>
        </w:tc>
        <w:tc>
          <w:tcPr>
            <w:tcW w:type="dxa" w:w="2160"/>
          </w:tcPr>
          <w:p>
            <w:r>
              <w:t>Security acceptability</w:t>
            </w:r>
          </w:p>
        </w:tc>
        <w:tc>
          <w:tcPr>
            <w:tcW w:type="dxa" w:w="2160"/>
          </w:tcPr>
          <w:p>
            <w:r>
              <w:t>Approved — Phase 1 Gate</w:t>
            </w:r>
          </w:p>
        </w:tc>
      </w:tr>
      <w:tr>
        <w:tc>
          <w:tcPr>
            <w:tcW w:type="dxa" w:w="2160"/>
          </w:tcPr>
          <w:p>
            <w:r>
              <w:t>AI Governance Director</w:t>
            </w:r>
          </w:p>
        </w:tc>
        <w:tc>
          <w:tcPr>
            <w:tcW w:type="dxa" w:w="2160"/>
          </w:tcPr>
          <w:p>
            <w:r>
              <w:t>S. Khurana</w:t>
            </w:r>
          </w:p>
        </w:tc>
        <w:tc>
          <w:tcPr>
            <w:tcW w:type="dxa" w:w="2160"/>
          </w:tcPr>
          <w:p>
            <w:r>
              <w:t>AI governance standards, model risk</w:t>
            </w:r>
          </w:p>
        </w:tc>
        <w:tc>
          <w:tcPr>
            <w:tcW w:type="dxa" w:w="2160"/>
          </w:tcPr>
          <w:p>
            <w:r>
              <w:t>Approved — Phase 1 Gate</w:t>
            </w:r>
          </w:p>
        </w:tc>
      </w:tr>
      <w:tr>
        <w:tc>
          <w:tcPr>
            <w:tcW w:type="dxa" w:w="2160"/>
          </w:tcPr>
          <w:p>
            <w:r>
              <w:t>BRD-01 Lead</w:t>
            </w:r>
          </w:p>
        </w:tc>
        <w:tc>
          <w:tcPr>
            <w:tcW w:type="dxa" w:w="2160"/>
          </w:tcPr>
          <w:p>
            <w:r>
              <w:t>F. Bennett</w:t>
            </w:r>
          </w:p>
        </w:tc>
        <w:tc>
          <w:tcPr>
            <w:tcW w:type="dxa" w:w="2160"/>
          </w:tcPr>
          <w:p>
            <w:r>
              <w:t>Technical achievability</w:t>
            </w:r>
          </w:p>
        </w:tc>
        <w:tc>
          <w:tcPr>
            <w:tcW w:type="dxa" w:w="2160"/>
          </w:tcPr>
          <w:p>
            <w:r>
              <w:t>Approved — Phase 1 Gate</w:t>
            </w:r>
          </w:p>
        </w:tc>
      </w:tr>
      <w:tr>
        <w:tc>
          <w:tcPr>
            <w:tcW w:type="dxa" w:w="2160"/>
          </w:tcPr>
          <w:p>
            <w:r>
              <w:t>Program Director</w:t>
            </w:r>
          </w:p>
        </w:tc>
        <w:tc>
          <w:tcPr>
            <w:tcW w:type="dxa" w:w="2160"/>
          </w:tcPr>
          <w:p>
            <w:r>
              <w:t>C. Tyrrell</w:t>
            </w:r>
          </w:p>
        </w:tc>
        <w:tc>
          <w:tcPr>
            <w:tcW w:type="dxa" w:w="2160"/>
          </w:tcPr>
          <w:p>
            <w:r>
              <w:t>Facilitation (does not sign off on requirements)</w:t>
            </w:r>
          </w:p>
        </w:tc>
        <w:tc>
          <w:tcPr>
            <w:tcW w:type="dxa" w:w="2160"/>
          </w:tcPr>
          <w:p>
            <w:r>
              <w:t>Acknowledged</w:t>
            </w:r>
          </w:p>
        </w:tc>
      </w:tr>
    </w:tbl>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