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Communications Plan — Version 1.0</w:t>
      </w:r>
    </w:p>
    <w:p/>
    <w:p>
      <w:r>
        <w:rPr>
          <w:color w:val="5B6472"/>
        </w:rPr>
        <w:t>This plan defines how Project Catalyst communicates with every stakeholder group — what information they need, how often, in what format, from whom, and through what channel. It covers routine program reporting, governance board communications, regulatory engagement, AI-specific mandatory escalations, change management messaging, and crisis communications. Owned by B. Sullivan (VP Corporate Communications) with Program Director (C. Tyrrell) as primary content source.</w:t>
      </w:r>
    </w:p>
    <w:p>
      <w:pPr>
        <w:pStyle w:val="Heading2"/>
      </w:pPr>
      <w:r>
        <w:t>1. Communications Objectives &amp; Principles</w:t>
      </w:r>
    </w:p>
    <w:p>
      <w:pPr>
        <w:pStyle w:val="Heading3"/>
      </w:pPr>
      <w:r>
        <w:t>1.1 Objectives</w:t>
      </w:r>
    </w:p>
    <w:p>
      <w:r>
        <w:t>This communications plan serves four objectives, prioritized in this order:</w:t>
      </w:r>
    </w:p>
    <w:p>
      <w:pPr>
        <w:pStyle w:val="ListNumber"/>
      </w:pPr>
      <w:r>
        <w:t>Decision enablement:Governance boards and executive leadership receive the information they need to make timely, informed decisions at phase gates and between them. This is the primary purpose — communications exist to enable governance, not to create administrative overhead.</w:t>
      </w:r>
    </w:p>
    <w:p>
      <w:pPr>
        <w:pStyle w:val="ListNumber"/>
      </w:pPr>
      <w:r>
        <w:t>Transparency without overload:Every stakeholder group receives the right level of detail — not too much (which causes disengagement) and not too little (which causes surprise). Executive sponsors need dashboards; team leads need sprint-level detail; frontline staff need reassurance and training; regulators need governance evidence.</w:t>
      </w:r>
    </w:p>
    <w:p>
      <w:pPr>
        <w:pStyle w:val="ListNumber"/>
      </w:pPr>
      <w:r>
        <w:t>Risk surfacing:The communications cadence is designed so that risks, issues, and blockers are visible to the right authority level within the time windows defined in theGovernance Modelescalation framework. No risk should first become visible to an executive at a phase gate — it should have been reported weeks earlier through the standard cadence.</w:t>
      </w:r>
    </w:p>
    <w:p>
      <w:pPr>
        <w:pStyle w:val="ListNumber"/>
      </w:pPr>
      <w:r>
        <w:t>Adoption support:Change management communications (Section 7) directly support the program's benefits realization — if frontline staff don't understand, trust, and adopt the AI tools, the operational benefits documented in theCBAwill not materialize. Communications are a delivery mechanism for adoption, not a nice-to-have.</w:t>
      </w:r>
    </w:p>
    <w:p>
      <w:pPr>
        <w:pStyle w:val="Heading3"/>
      </w:pPr>
      <w:r>
        <w:t>1.2 Principles</w:t>
      </w:r>
    </w:p>
    <w:p>
      <w:pPr>
        <w:pStyle w:val="ListBullet"/>
      </w:pPr>
      <w:r>
        <w:t>No surprises:Executive sponsors should never learn about a material risk, issue, or schedule slip for the first time at a phase gate or in a board meeting. The standard reporting cadence exists to surface problems early. If a problem bypasses the cadence and surprises an executive, that is a communications failure to be addressed.</w:t>
      </w:r>
    </w:p>
    <w:p>
      <w:pPr>
        <w:pStyle w:val="ListBullet"/>
      </w:pPr>
      <w:r>
        <w:t>Right information, right level, right time:Team leads need different information than executives, who need different information than regulators, who need different information than frontline staff. This plan defines separate communication streams for each group rather than broadcasting everything to everyone.</w:t>
      </w:r>
    </w:p>
    <w:p>
      <w:pPr>
        <w:pStyle w:val="ListBullet"/>
      </w:pPr>
      <w:r>
        <w:t>Mandatory escalation is non-negotiable:The AI-specific escalation notifications in Section 6 are not optional communications — they are governance-mandated notifications with defined time windows. Missing an escalation notification is a governance violation, not a communications oversight.</w:t>
      </w:r>
    </w:p>
    <w:p>
      <w:pPr>
        <w:pStyle w:val="ListBullet"/>
      </w:pPr>
      <w:r>
        <w:t>Written records:All formal program communications (status reports, board materials, escalation notifications, gate packages) are documented and archived in the project portal. Verbal-only communications for material decisions are not acceptable — if it wasn't written down, it didn't happen for governance purposes.</w:t>
      </w:r>
    </w:p>
    <w:p>
      <w:pPr>
        <w:pStyle w:val="Heading2"/>
      </w:pPr>
      <w:r>
        <w:t>2. Stakeholder Analysis &amp; Information Needs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Stakeholder Group</w:t>
            </w:r>
          </w:p>
        </w:tc>
        <w:tc>
          <w:tcPr>
            <w:tcW w:type="dxa" w:w="1728"/>
          </w:tcPr>
          <w:p>
            <w:r>
              <w:t>What They Need to Know</w:t>
            </w:r>
          </w:p>
        </w:tc>
        <w:tc>
          <w:tcPr>
            <w:tcW w:type="dxa" w:w="1728"/>
          </w:tcPr>
          <w:p>
            <w:r>
              <w:t>What They Don't Need</w:t>
            </w:r>
          </w:p>
        </w:tc>
        <w:tc>
          <w:tcPr>
            <w:tcW w:type="dxa" w:w="1728"/>
          </w:tcPr>
          <w:p>
            <w:r>
              <w:t>Preferred Format</w:t>
            </w:r>
          </w:p>
        </w:tc>
        <w:tc>
          <w:tcPr>
            <w:tcW w:type="dxa" w:w="1728"/>
          </w:tcPr>
          <w:p>
            <w:r>
              <w:t>Sensitivity Level</w:t>
            </w:r>
          </w:p>
        </w:tc>
      </w:tr>
      <w:tr>
        <w:tc>
          <w:tcPr>
            <w:tcW w:type="dxa" w:w="1728"/>
          </w:tcPr>
          <w:p>
            <w:r>
              <w:t>ACME Board of Directors</w:t>
            </w:r>
          </w:p>
        </w:tc>
        <w:tc>
          <w:tcPr>
            <w:tcW w:type="dxa" w:w="1728"/>
          </w:tcPr>
          <w:p>
            <w:r>
              <w:t>Strategic progress, risk exposure, financial status, competitive positioning impact, regulatory posture</w:t>
            </w:r>
          </w:p>
        </w:tc>
        <w:tc>
          <w:tcPr>
            <w:tcW w:type="dxa" w:w="1728"/>
          </w:tcPr>
          <w:p>
            <w:r>
              <w:t>Sprint-level detail, technical architecture, individual staffing changes</w:t>
            </w:r>
          </w:p>
        </w:tc>
        <w:tc>
          <w:tcPr>
            <w:tcW w:type="dxa" w:w="1728"/>
          </w:tcPr>
          <w:p>
            <w:r>
              <w:t>30-minute briefing + 2-page summary</w:t>
            </w:r>
          </w:p>
        </w:tc>
        <w:tc>
          <w:tcPr>
            <w:tcW w:type="dxa" w:w="1728"/>
          </w:tcPr>
          <w:p>
            <w:r>
              <w:t>Board-confidential</w:t>
            </w:r>
          </w:p>
        </w:tc>
      </w:tr>
      <w:tr>
        <w:tc>
          <w:tcPr>
            <w:tcW w:type="dxa" w:w="1728"/>
          </w:tcPr>
          <w:p>
            <w:r>
              <w:t>Executive Steering Board</w:t>
            </w:r>
          </w:p>
        </w:tc>
        <w:tc>
          <w:tcPr>
            <w:tcW w:type="dxa" w:w="1728"/>
          </w:tcPr>
          <w:p>
            <w:r>
              <w:t>Program health (RAG), budget vs. forecast, risk escalations, phase-gate readiness, benefits tracking, cross-BRD dependencies</w:t>
            </w:r>
          </w:p>
        </w:tc>
        <w:tc>
          <w:tcPr>
            <w:tcW w:type="dxa" w:w="1728"/>
          </w:tcPr>
          <w:p>
            <w:r>
              <w:t>Individual sprint retrospective outcomes, code-level technical decisions</w:t>
            </w:r>
          </w:p>
        </w:tc>
        <w:tc>
          <w:tcPr>
            <w:tcW w:type="dxa" w:w="1728"/>
          </w:tcPr>
          <w:p>
            <w:r>
              <w:t>Scorecard dashboard + narrative summary (10 pages monthly)</w:t>
            </w:r>
          </w:p>
        </w:tc>
        <w:tc>
          <w:tcPr>
            <w:tcW w:type="dxa" w:w="1728"/>
          </w:tcPr>
          <w:p>
            <w:r>
              <w:t>Executive-restricted</w:t>
            </w:r>
          </w:p>
        </w:tc>
      </w:tr>
      <w:tr>
        <w:tc>
          <w:tcPr>
            <w:tcW w:type="dxa" w:w="1728"/>
          </w:tcPr>
          <w:p>
            <w:r>
              <w:t>AI Governance Board</w:t>
            </w:r>
          </w:p>
        </w:tc>
        <w:tc>
          <w:tcPr>
            <w:tcW w:type="dxa" w:w="1728"/>
          </w:tcPr>
          <w:p>
            <w:r>
              <w:t>Model risk status, validation results, fairness testing outcomes, responsible AI compliance, regulatory developments, shadow AI detection</w:t>
            </w:r>
          </w:p>
        </w:tc>
        <w:tc>
          <w:tcPr>
            <w:tcW w:type="dxa" w:w="1728"/>
          </w:tcPr>
          <w:p>
            <w:r>
              <w:t>Budget detail, staffing logistics, non-AI technical decisions</w:t>
            </w:r>
          </w:p>
        </w:tc>
        <w:tc>
          <w:tcPr>
            <w:tcW w:type="dxa" w:w="1728"/>
          </w:tcPr>
          <w:p>
            <w:r>
              <w:t>Model review packets + board meeting discussion</w:t>
            </w:r>
          </w:p>
        </w:tc>
        <w:tc>
          <w:tcPr>
            <w:tcW w:type="dxa" w:w="1728"/>
          </w:tcPr>
          <w:p>
            <w:r>
              <w:t>Executive-restricted</w:t>
            </w:r>
          </w:p>
        </w:tc>
      </w:tr>
      <w:tr>
        <w:tc>
          <w:tcPr>
            <w:tcW w:type="dxa" w:w="1728"/>
          </w:tcPr>
          <w:p>
            <w:r>
              <w:t>Enterprise Architecture Board</w:t>
            </w:r>
          </w:p>
        </w:tc>
        <w:tc>
          <w:tcPr>
            <w:tcW w:type="dxa" w:w="1728"/>
          </w:tcPr>
          <w:p>
            <w:r>
              <w:t>Architecture decisions, security posture, integration status, platform performance, technical debt, data residency compliance</w:t>
            </w:r>
          </w:p>
        </w:tc>
        <w:tc>
          <w:tcPr>
            <w:tcW w:type="dxa" w:w="1728"/>
          </w:tcPr>
          <w:p>
            <w:r>
              <w:t>Budget detail, change management metrics, member-facing UX decisions</w:t>
            </w:r>
          </w:p>
        </w:tc>
        <w:tc>
          <w:tcPr>
            <w:tcW w:type="dxa" w:w="1728"/>
          </w:tcPr>
          <w:p>
            <w:r>
              <w:t>Architecture review presentations + decision logs</w:t>
            </w:r>
          </w:p>
        </w:tc>
        <w:tc>
          <w:tcPr>
            <w:tcW w:type="dxa" w:w="1728"/>
          </w:tcPr>
          <w:p>
            <w:r>
              <w:t>Technical-restricted</w:t>
            </w:r>
          </w:p>
        </w:tc>
      </w:tr>
      <w:tr>
        <w:tc>
          <w:tcPr>
            <w:tcW w:type="dxa" w:w="1728"/>
          </w:tcPr>
          <w:p>
            <w:r>
              <w:t>25 Team Leads</w:t>
            </w:r>
          </w:p>
        </w:tc>
        <w:tc>
          <w:tcPr>
            <w:tcW w:type="dxa" w:w="1728"/>
          </w:tcPr>
          <w:p>
            <w:r>
              <w:t>Phase-gate readiness, cross-team dependencies, resource changes, RAIDD Log updates, sprint-level status for their team, governance decisions affecting their work</w:t>
            </w:r>
          </w:p>
        </w:tc>
        <w:tc>
          <w:tcPr>
            <w:tcW w:type="dxa" w:w="1728"/>
          </w:tcPr>
          <w:p>
            <w:r>
              <w:t>Board deliberation details, financial details beyond their team's budget, other teams' personnel issues</w:t>
            </w:r>
          </w:p>
        </w:tc>
        <w:tc>
          <w:tcPr>
            <w:tcW w:type="dxa" w:w="1728"/>
          </w:tcPr>
          <w:p>
            <w:r>
              <w:t>Weekly status sync (meeting) + written summary</w:t>
            </w:r>
          </w:p>
        </w:tc>
        <w:tc>
          <w:tcPr>
            <w:tcW w:type="dxa" w:w="1728"/>
          </w:tcPr>
          <w:p>
            <w:r>
              <w:t>Program-internal</w:t>
            </w:r>
          </w:p>
        </w:tc>
      </w:tr>
      <w:tr>
        <w:tc>
          <w:tcPr>
            <w:tcW w:type="dxa" w:w="1728"/>
          </w:tcPr>
          <w:p>
            <w:r>
              <w:t>262 Team Members</w:t>
            </w:r>
          </w:p>
        </w:tc>
        <w:tc>
          <w:tcPr>
            <w:tcW w:type="dxa" w:w="1728"/>
          </w:tcPr>
          <w:p>
            <w:r>
              <w:t>Their sprint assignments, definition of done, blockers, upcoming milestones, training schedule, organizational announcements</w:t>
            </w:r>
          </w:p>
        </w:tc>
        <w:tc>
          <w:tcPr>
            <w:tcW w:type="dxa" w:w="1728"/>
          </w:tcPr>
          <w:p>
            <w:r>
              <w:t>Board-level financials, risk scoring details, regulatory engagement details</w:t>
            </w:r>
          </w:p>
        </w:tc>
        <w:tc>
          <w:tcPr>
            <w:tcW w:type="dxa" w:w="1728"/>
          </w:tcPr>
          <w:p>
            <w:r>
              <w:t>Sprint ceremonies + team channels + monthly newsletter</w:t>
            </w:r>
          </w:p>
        </w:tc>
        <w:tc>
          <w:tcPr>
            <w:tcW w:type="dxa" w:w="1728"/>
          </w:tcPr>
          <w:p>
            <w:r>
              <w:t>Program-internal</w:t>
            </w:r>
          </w:p>
        </w:tc>
      </w:tr>
      <w:tr>
        <w:tc>
          <w:tcPr>
            <w:tcW w:type="dxa" w:w="1728"/>
          </w:tcPr>
          <w:p>
            <w:r>
              <w:t>Frontline Operations Staff(PA reviewers, call-center agents, underwriters)</w:t>
            </w:r>
          </w:p>
        </w:tc>
        <w:tc>
          <w:tcPr>
            <w:tcW w:type="dxa" w:w="1728"/>
          </w:tcPr>
          <w:p>
            <w:r>
              <w:t>What's changing in their workflow, when, how they'll be trained, how AI augments (not replaces) their role, where to provide feedback, opt-in timeline</w:t>
            </w:r>
          </w:p>
        </w:tc>
        <w:tc>
          <w:tcPr>
            <w:tcW w:type="dxa" w:w="1728"/>
          </w:tcPr>
          <w:p>
            <w:r>
              <w:t>Technical AI architecture, governance board structure, financial details</w:t>
            </w:r>
          </w:p>
        </w:tc>
        <w:tc>
          <w:tcPr>
            <w:tcW w:type="dxa" w:w="1728"/>
          </w:tcPr>
          <w:p>
            <w:r>
              <w:t>Town halls, training sessions, internal newsletter, supervisor briefings</w:t>
            </w:r>
          </w:p>
        </w:tc>
        <w:tc>
          <w:tcPr>
            <w:tcW w:type="dxa" w:w="1728"/>
          </w:tcPr>
          <w:p>
            <w:r>
              <w:t>General-internal</w:t>
            </w:r>
          </w:p>
        </w:tc>
      </w:tr>
      <w:tr>
        <w:tc>
          <w:tcPr>
            <w:tcW w:type="dxa" w:w="1728"/>
          </w:tcPr>
          <w:p>
            <w:r>
              <w:t>State Regulators / CMS</w:t>
            </w:r>
          </w:p>
        </w:tc>
        <w:tc>
          <w:tcPr>
            <w:tcW w:type="dxa" w:w="1728"/>
          </w:tcPr>
          <w:p>
            <w:r>
              <w:t>Governance framework maturity, model validation methodology, fairness testing results, audit trail capability, CMS-0057-F compliance status</w:t>
            </w:r>
          </w:p>
        </w:tc>
        <w:tc>
          <w:tcPr>
            <w:tcW w:type="dxa" w:w="1728"/>
          </w:tcPr>
          <w:p>
            <w:r>
              <w:t>Budget, staffing, vendor details, internal organizational dynamics</w:t>
            </w:r>
          </w:p>
        </w:tc>
        <w:tc>
          <w:tcPr>
            <w:tcW w:type="dxa" w:w="1728"/>
          </w:tcPr>
          <w:p>
            <w:r>
              <w:t>Quarterly briefing (R. Thorne) + documentation package on request</w:t>
            </w:r>
          </w:p>
        </w:tc>
        <w:tc>
          <w:tcPr>
            <w:tcW w:type="dxa" w:w="1728"/>
          </w:tcPr>
          <w:p>
            <w:r>
              <w:t>Regulatory-external</w:t>
            </w:r>
          </w:p>
        </w:tc>
      </w:tr>
      <w:tr>
        <w:tc>
          <w:tcPr>
            <w:tcW w:type="dxa" w:w="1728"/>
          </w:tcPr>
          <w:p>
            <w:r>
              <w:t>ACME Members (4M)</w:t>
            </w:r>
          </w:p>
        </w:tc>
        <w:tc>
          <w:tcPr>
            <w:tcW w:type="dxa" w:w="1728"/>
          </w:tcPr>
          <w:p>
            <w:r>
              <w:t>Nothing proactively — members interact with the AI tools (BRD-02 virtual assistant) but do not receive program communications. Member-facing communications are limited to: AI self-identification disclosure and service change notifications.</w:t>
            </w:r>
          </w:p>
        </w:tc>
        <w:tc>
          <w:tcPr>
            <w:tcW w:type="dxa" w:w="1728"/>
          </w:tcPr>
          <w:p>
            <w:r>
              <w:t>Everything about the program itself</w:t>
            </w:r>
          </w:p>
        </w:tc>
        <w:tc>
          <w:tcPr>
            <w:tcW w:type="dxa" w:w="1728"/>
          </w:tcPr>
          <w:p>
            <w:r>
              <w:t>In-product disclosure only</w:t>
            </w:r>
          </w:p>
        </w:tc>
        <w:tc>
          <w:tcPr>
            <w:tcW w:type="dxa" w:w="1728"/>
          </w:tcPr>
          <w:p>
            <w:r>
              <w:t>Public</w:t>
            </w:r>
          </w:p>
        </w:tc>
      </w:tr>
      <w:tr>
        <w:tc>
          <w:tcPr>
            <w:tcW w:type="dxa" w:w="1728"/>
          </w:tcPr>
          <w:p>
            <w:r>
              <w:t>Provider Network</w:t>
            </w:r>
          </w:p>
        </w:tc>
        <w:tc>
          <w:tcPr>
            <w:tcW w:type="dxa" w:w="1728"/>
          </w:tcPr>
          <w:p>
            <w:r>
              <w:t>PA workflow changes (faster turnaround), new FHIR API capabilities, portal enhancements, provider-facing self-service features</w:t>
            </w:r>
          </w:p>
        </w:tc>
        <w:tc>
          <w:tcPr>
            <w:tcW w:type="dxa" w:w="1728"/>
          </w:tcPr>
          <w:p>
            <w:r>
              <w:t>Internal governance, budget, staffing, model architecture</w:t>
            </w:r>
          </w:p>
        </w:tc>
        <w:tc>
          <w:tcPr>
            <w:tcW w:type="dxa" w:w="1728"/>
          </w:tcPr>
          <w:p>
            <w:r>
              <w:t>Provider bulletins, portal notifications, account manager briefings</w:t>
            </w:r>
          </w:p>
        </w:tc>
        <w:tc>
          <w:tcPr>
            <w:tcW w:type="dxa" w:w="1728"/>
          </w:tcPr>
          <w:p>
            <w:r>
              <w:t>External-partner</w:t>
            </w:r>
          </w:p>
        </w:tc>
      </w:tr>
      <w:tr>
        <w:tc>
          <w:tcPr>
            <w:tcW w:type="dxa" w:w="1728"/>
          </w:tcPr>
          <w:p>
            <w:r>
              <w:t>Pulaski Advisory Leadership</w:t>
            </w:r>
          </w:p>
        </w:tc>
        <w:tc>
          <w:tcPr>
            <w:tcW w:type="dxa" w:w="1728"/>
          </w:tcPr>
          <w:p>
            <w:r>
              <w:t>Engagement health, SOW performance, delivery milestones, client satisfaction, team utilization, contract compliance</w:t>
            </w:r>
          </w:p>
        </w:tc>
        <w:tc>
          <w:tcPr>
            <w:tcW w:type="dxa" w:w="1728"/>
          </w:tcPr>
          <w:p>
            <w:r>
              <w:t>ACME-internal governance details, regulatory correspondence, member data</w:t>
            </w:r>
          </w:p>
        </w:tc>
        <w:tc>
          <w:tcPr>
            <w:tcW w:type="dxa" w:w="1728"/>
          </w:tcPr>
          <w:p>
            <w:r>
              <w:t>Monthly delivery review meeting + SOW performance dashboard</w:t>
            </w:r>
          </w:p>
        </w:tc>
        <w:tc>
          <w:tcPr>
            <w:tcW w:type="dxa" w:w="1728"/>
          </w:tcPr>
          <w:p>
            <w:r>
              <w:t>Partner-confidential</w:t>
            </w:r>
          </w:p>
        </w:tc>
      </w:tr>
    </w:tbl>
    <w:p/>
    <w:p>
      <w:pPr>
        <w:pStyle w:val="Heading2"/>
      </w:pPr>
      <w:r>
        <w:t>3. Internal Program Communications</w:t>
      </w:r>
    </w:p>
    <w:p>
      <w:pPr>
        <w:pStyle w:val="Heading3"/>
      </w:pPr>
      <w:r>
        <w:t>3.1 Standing Meeting Cadence</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Communication</w:t>
            </w:r>
          </w:p>
        </w:tc>
        <w:tc>
          <w:tcPr>
            <w:tcW w:type="dxa" w:w="1234"/>
          </w:tcPr>
          <w:p>
            <w:r>
              <w:t>Frequency</w:t>
            </w:r>
          </w:p>
        </w:tc>
        <w:tc>
          <w:tcPr>
            <w:tcW w:type="dxa" w:w="1234"/>
          </w:tcPr>
          <w:p>
            <w:r>
              <w:t>Duration</w:t>
            </w:r>
          </w:p>
        </w:tc>
        <w:tc>
          <w:tcPr>
            <w:tcW w:type="dxa" w:w="1234"/>
          </w:tcPr>
          <w:p>
            <w:r>
              <w:t>Owner</w:t>
            </w:r>
          </w:p>
        </w:tc>
        <w:tc>
          <w:tcPr>
            <w:tcW w:type="dxa" w:w="1234"/>
          </w:tcPr>
          <w:p>
            <w:r>
              <w:t>Audience</w:t>
            </w:r>
          </w:p>
        </w:tc>
        <w:tc>
          <w:tcPr>
            <w:tcW w:type="dxa" w:w="1234"/>
          </w:tcPr>
          <w:p>
            <w:r>
              <w:t>Expected Output</w:t>
            </w:r>
          </w:p>
        </w:tc>
        <w:tc>
          <w:tcPr>
            <w:tcW w:type="dxa" w:w="1234"/>
          </w:tcPr>
          <w:p>
            <w:r>
              <w:t>Distribution</w:t>
            </w:r>
          </w:p>
        </w:tc>
      </w:tr>
      <w:tr>
        <w:tc>
          <w:tcPr>
            <w:tcW w:type="dxa" w:w="1234"/>
          </w:tcPr>
          <w:p>
            <w:r>
              <w:t>Daily Standup (per BRD team)</w:t>
            </w:r>
          </w:p>
        </w:tc>
        <w:tc>
          <w:tcPr>
            <w:tcW w:type="dxa" w:w="1234"/>
          </w:tcPr>
          <w:p>
            <w:r>
              <w:t>Daily</w:t>
            </w:r>
          </w:p>
        </w:tc>
        <w:tc>
          <w:tcPr>
            <w:tcW w:type="dxa" w:w="1234"/>
          </w:tcPr>
          <w:p>
            <w:r>
              <w:t>15 min</w:t>
            </w:r>
          </w:p>
        </w:tc>
        <w:tc>
          <w:tcPr>
            <w:tcW w:type="dxa" w:w="1234"/>
          </w:tcPr>
          <w:p>
            <w:r>
              <w:t>Scrum Master</w:t>
            </w:r>
          </w:p>
        </w:tc>
        <w:tc>
          <w:tcPr>
            <w:tcW w:type="dxa" w:w="1234"/>
          </w:tcPr>
          <w:p>
            <w:r>
              <w:t>BRD team members</w:t>
            </w:r>
          </w:p>
        </w:tc>
        <w:tc>
          <w:tcPr>
            <w:tcW w:type="dxa" w:w="1234"/>
          </w:tcPr>
          <w:p>
            <w:r>
              <w:t>Blocker identification; no status reports — just blockers and help needed</w:t>
            </w:r>
          </w:p>
        </w:tc>
        <w:tc>
          <w:tcPr>
            <w:tcW w:type="dxa" w:w="1234"/>
          </w:tcPr>
          <w:p>
            <w:r>
              <w:t>Verbal only (no written artifact)</w:t>
            </w:r>
          </w:p>
        </w:tc>
      </w:tr>
      <w:tr>
        <w:tc>
          <w:tcPr>
            <w:tcW w:type="dxa" w:w="1234"/>
          </w:tcPr>
          <w:p>
            <w:r>
              <w:t>Scrum-of-Scrums</w:t>
            </w:r>
          </w:p>
        </w:tc>
        <w:tc>
          <w:tcPr>
            <w:tcW w:type="dxa" w:w="1234"/>
          </w:tcPr>
          <w:p>
            <w:r>
              <w:t>2×/week (Tue, Thu)</w:t>
            </w:r>
          </w:p>
        </w:tc>
        <w:tc>
          <w:tcPr>
            <w:tcW w:type="dxa" w:w="1234"/>
          </w:tcPr>
          <w:p>
            <w:r>
              <w:t>15 min</w:t>
            </w:r>
          </w:p>
        </w:tc>
        <w:tc>
          <w:tcPr>
            <w:tcW w:type="dxa" w:w="1234"/>
          </w:tcPr>
          <w:p>
            <w:r>
              <w:t>C. Tyrrell</w:t>
            </w:r>
          </w:p>
        </w:tc>
        <w:tc>
          <w:tcPr>
            <w:tcW w:type="dxa" w:w="1234"/>
          </w:tcPr>
          <w:p>
            <w:r>
              <w:t>Scrum Masters + Platform Lead</w:t>
            </w:r>
          </w:p>
        </w:tc>
        <w:tc>
          <w:tcPr>
            <w:tcW w:type="dxa" w:w="1234"/>
          </w:tcPr>
          <w:p>
            <w:r>
              <w:t>Cross-BRD dependency status; blockers requiring Program Director intervention</w:t>
            </w:r>
          </w:p>
        </w:tc>
        <w:tc>
          <w:tcPr>
            <w:tcW w:type="dxa" w:w="1234"/>
          </w:tcPr>
          <w:p>
            <w:r>
              <w:t>Verbal + action items logged in project portal</w:t>
            </w:r>
          </w:p>
        </w:tc>
      </w:tr>
      <w:tr>
        <w:tc>
          <w:tcPr>
            <w:tcW w:type="dxa" w:w="1234"/>
          </w:tcPr>
          <w:p>
            <w:r>
              <w:t>Backlog Refinement (per BRD)</w:t>
            </w:r>
          </w:p>
        </w:tc>
        <w:tc>
          <w:tcPr>
            <w:tcW w:type="dxa" w:w="1234"/>
          </w:tcPr>
          <w:p>
            <w:r>
              <w:t>Weekly (mid-sprint)</w:t>
            </w:r>
          </w:p>
        </w:tc>
        <w:tc>
          <w:tcPr>
            <w:tcW w:type="dxa" w:w="1234"/>
          </w:tcPr>
          <w:p>
            <w:r>
              <w:t>60 min</w:t>
            </w:r>
          </w:p>
        </w:tc>
        <w:tc>
          <w:tcPr>
            <w:tcW w:type="dxa" w:w="1234"/>
          </w:tcPr>
          <w:p>
            <w:r>
              <w:t>Product Manager</w:t>
            </w:r>
          </w:p>
        </w:tc>
        <w:tc>
          <w:tcPr>
            <w:tcW w:type="dxa" w:w="1234"/>
          </w:tcPr>
          <w:p>
            <w:r>
              <w:t>BRD team core members</w:t>
            </w:r>
          </w:p>
        </w:tc>
        <w:tc>
          <w:tcPr>
            <w:tcW w:type="dxa" w:w="1234"/>
          </w:tcPr>
          <w:p>
            <w:r>
              <w:t>Stories refined to meet Definition of Ready</w:t>
            </w:r>
          </w:p>
        </w:tc>
        <w:tc>
          <w:tcPr>
            <w:tcW w:type="dxa" w:w="1234"/>
          </w:tcPr>
          <w:p>
            <w:r>
              <w:t>Updated backlog in project tracking tool</w:t>
            </w:r>
          </w:p>
        </w:tc>
      </w:tr>
      <w:tr>
        <w:tc>
          <w:tcPr>
            <w:tcW w:type="dxa" w:w="1234"/>
          </w:tcPr>
          <w:p>
            <w:r>
              <w:t>Sprint Planning (per BRD)</w:t>
            </w:r>
          </w:p>
        </w:tc>
        <w:tc>
          <w:tcPr>
            <w:tcW w:type="dxa" w:w="1234"/>
          </w:tcPr>
          <w:p>
            <w:r>
              <w:t>Bi-weekly (Day 1)</w:t>
            </w:r>
          </w:p>
        </w:tc>
        <w:tc>
          <w:tcPr>
            <w:tcW w:type="dxa" w:w="1234"/>
          </w:tcPr>
          <w:p>
            <w:r>
              <w:t>90 min</w:t>
            </w:r>
          </w:p>
        </w:tc>
        <w:tc>
          <w:tcPr>
            <w:tcW w:type="dxa" w:w="1234"/>
          </w:tcPr>
          <w:p>
            <w:r>
              <w:t>BRD Lead + Scrum Master</w:t>
            </w:r>
          </w:p>
        </w:tc>
        <w:tc>
          <w:tcPr>
            <w:tcW w:type="dxa" w:w="1234"/>
          </w:tcPr>
          <w:p>
            <w:r>
              <w:t>BRD team</w:t>
            </w:r>
          </w:p>
        </w:tc>
        <w:tc>
          <w:tcPr>
            <w:tcW w:type="dxa" w:w="1234"/>
          </w:tcPr>
          <w:p>
            <w:r>
              <w:t>Sprint backlog committed; capacity confirmed</w:t>
            </w:r>
          </w:p>
        </w:tc>
        <w:tc>
          <w:tcPr>
            <w:tcW w:type="dxa" w:w="1234"/>
          </w:tcPr>
          <w:p>
            <w:r>
              <w:t>Sprint board updated</w:t>
            </w:r>
          </w:p>
        </w:tc>
      </w:tr>
      <w:tr>
        <w:tc>
          <w:tcPr>
            <w:tcW w:type="dxa" w:w="1234"/>
          </w:tcPr>
          <w:p>
            <w:r>
              <w:t>Sprint Review/Demo (per BRD)</w:t>
            </w:r>
          </w:p>
        </w:tc>
        <w:tc>
          <w:tcPr>
            <w:tcW w:type="dxa" w:w="1234"/>
          </w:tcPr>
          <w:p>
            <w:r>
              <w:t>Bi-weekly (last day)</w:t>
            </w:r>
          </w:p>
        </w:tc>
        <w:tc>
          <w:tcPr>
            <w:tcW w:type="dxa" w:w="1234"/>
          </w:tcPr>
          <w:p>
            <w:r>
              <w:t>45 min</w:t>
            </w:r>
          </w:p>
        </w:tc>
        <w:tc>
          <w:tcPr>
            <w:tcW w:type="dxa" w:w="1234"/>
          </w:tcPr>
          <w:p>
            <w:r>
              <w:t>BRD Lead</w:t>
            </w:r>
          </w:p>
        </w:tc>
        <w:tc>
          <w:tcPr>
            <w:tcW w:type="dxa" w:w="1234"/>
          </w:tcPr>
          <w:p>
            <w:r>
              <w:t>BRD team + stakeholders</w:t>
            </w:r>
          </w:p>
        </w:tc>
        <w:tc>
          <w:tcPr>
            <w:tcW w:type="dxa" w:w="1234"/>
          </w:tcPr>
          <w:p>
            <w:r>
              <w:t>Increment demonstrated; feedback captured</w:t>
            </w:r>
          </w:p>
        </w:tc>
        <w:tc>
          <w:tcPr>
            <w:tcW w:type="dxa" w:w="1234"/>
          </w:tcPr>
          <w:p>
            <w:r>
              <w:t>Demo recording archived; feedback logged</w:t>
            </w:r>
          </w:p>
        </w:tc>
      </w:tr>
      <w:tr>
        <w:tc>
          <w:tcPr>
            <w:tcW w:type="dxa" w:w="1234"/>
          </w:tcPr>
          <w:p>
            <w:r>
              <w:t>Sprint Retrospective (per BRD)</w:t>
            </w:r>
          </w:p>
        </w:tc>
        <w:tc>
          <w:tcPr>
            <w:tcW w:type="dxa" w:w="1234"/>
          </w:tcPr>
          <w:p>
            <w:r>
              <w:t>Bi-weekly (last day)</w:t>
            </w:r>
          </w:p>
        </w:tc>
        <w:tc>
          <w:tcPr>
            <w:tcW w:type="dxa" w:w="1234"/>
          </w:tcPr>
          <w:p>
            <w:r>
              <w:t>45 min</w:t>
            </w:r>
          </w:p>
        </w:tc>
        <w:tc>
          <w:tcPr>
            <w:tcW w:type="dxa" w:w="1234"/>
          </w:tcPr>
          <w:p>
            <w:r>
              <w:t>Scrum Master</w:t>
            </w:r>
          </w:p>
        </w:tc>
        <w:tc>
          <w:tcPr>
            <w:tcW w:type="dxa" w:w="1234"/>
          </w:tcPr>
          <w:p>
            <w:r>
              <w:t>BRD team only</w:t>
            </w:r>
          </w:p>
        </w:tc>
        <w:tc>
          <w:tcPr>
            <w:tcW w:type="dxa" w:w="1234"/>
          </w:tcPr>
          <w:p>
            <w:r>
              <w:t>Improvement actions identified (max 3 per retro)</w:t>
            </w:r>
          </w:p>
        </w:tc>
        <w:tc>
          <w:tcPr>
            <w:tcW w:type="dxa" w:w="1234"/>
          </w:tcPr>
          <w:p>
            <w:r>
              <w:t>Action items tracked; content stays within team</w:t>
            </w:r>
          </w:p>
        </w:tc>
      </w:tr>
      <w:tr>
        <w:tc>
          <w:tcPr>
            <w:tcW w:type="dxa" w:w="1234"/>
          </w:tcPr>
          <w:p>
            <w:r>
              <w:t>Program Status Sync</w:t>
            </w:r>
          </w:p>
        </w:tc>
        <w:tc>
          <w:tcPr>
            <w:tcW w:type="dxa" w:w="1234"/>
          </w:tcPr>
          <w:p>
            <w:r>
              <w:t>Weekly (Friday)</w:t>
            </w:r>
          </w:p>
        </w:tc>
        <w:tc>
          <w:tcPr>
            <w:tcW w:type="dxa" w:w="1234"/>
          </w:tcPr>
          <w:p>
            <w:r>
              <w:t>60 min</w:t>
            </w:r>
          </w:p>
        </w:tc>
        <w:tc>
          <w:tcPr>
            <w:tcW w:type="dxa" w:w="1234"/>
          </w:tcPr>
          <w:p>
            <w:r>
              <w:t>C. Tyrrell</w:t>
            </w:r>
          </w:p>
        </w:tc>
        <w:tc>
          <w:tcPr>
            <w:tcW w:type="dxa" w:w="1234"/>
          </w:tcPr>
          <w:p>
            <w:r>
              <w:t>PMO Lead + all 25 team leads</w:t>
            </w:r>
          </w:p>
        </w:tc>
        <w:tc>
          <w:tcPr>
            <w:tcW w:type="dxa" w:w="1234"/>
          </w:tcPr>
          <w:p>
            <w:r>
              <w:t>Schedule status, budget status, risk/issue updates, blockers, decisions needed</w:t>
            </w:r>
          </w:p>
        </w:tc>
        <w:tc>
          <w:tcPr>
            <w:tcW w:type="dxa" w:w="1234"/>
          </w:tcPr>
          <w:p>
            <w:r>
              <w:t>Written summary distributed within 4 hours</w:t>
            </w:r>
          </w:p>
        </w:tc>
      </w:tr>
      <w:tr>
        <w:tc>
          <w:tcPr>
            <w:tcW w:type="dxa" w:w="1234"/>
          </w:tcPr>
          <w:p>
            <w:r>
              <w:t>RAIDD Log Update</w:t>
            </w:r>
          </w:p>
        </w:tc>
        <w:tc>
          <w:tcPr>
            <w:tcW w:type="dxa" w:w="1234"/>
          </w:tcPr>
          <w:p>
            <w:r>
              <w:t>Weekly</w:t>
            </w:r>
          </w:p>
        </w:tc>
        <w:tc>
          <w:tcPr>
            <w:tcW w:type="dxa" w:w="1234"/>
          </w:tcPr>
          <w:p>
            <w:r>
              <w:t>N/A (async)</w:t>
            </w:r>
          </w:p>
        </w:tc>
        <w:tc>
          <w:tcPr>
            <w:tcW w:type="dxa" w:w="1234"/>
          </w:tcPr>
          <w:p>
            <w:r>
              <w:t>Risk owners</w:t>
            </w:r>
          </w:p>
        </w:tc>
        <w:tc>
          <w:tcPr>
            <w:tcW w:type="dxa" w:w="1234"/>
          </w:tcPr>
          <w:p>
            <w:r>
              <w:t>Full program team (view)</w:t>
            </w:r>
          </w:p>
        </w:tc>
        <w:tc>
          <w:tcPr>
            <w:tcW w:type="dxa" w:w="1234"/>
          </w:tcPr>
          <w:p>
            <w:r>
              <w:t>Each risk owner updates their assigned entries. PMO flags stale entries (&gt;14 days)</w:t>
            </w:r>
          </w:p>
        </w:tc>
        <w:tc>
          <w:tcPr>
            <w:tcW w:type="dxa" w:w="1234"/>
          </w:tcPr>
          <w:p>
            <w:r>
              <w:t>Updated in project portal; staleness report to Program Director</w:t>
            </w:r>
          </w:p>
        </w:tc>
      </w:tr>
    </w:tbl>
    <w:p/>
    <w:p>
      <w:pPr>
        <w:pStyle w:val="Heading3"/>
      </w:pPr>
      <w:r>
        <w:t>3.2 Monthly &amp; Quarterly Communications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Communication</w:t>
            </w:r>
          </w:p>
        </w:tc>
        <w:tc>
          <w:tcPr>
            <w:tcW w:type="dxa" w:w="1440"/>
          </w:tcPr>
          <w:p>
            <w:r>
              <w:t>Frequency</w:t>
            </w:r>
          </w:p>
        </w:tc>
        <w:tc>
          <w:tcPr>
            <w:tcW w:type="dxa" w:w="1440"/>
          </w:tcPr>
          <w:p>
            <w:r>
              <w:t>Owner</w:t>
            </w:r>
          </w:p>
        </w:tc>
        <w:tc>
          <w:tcPr>
            <w:tcW w:type="dxa" w:w="1440"/>
          </w:tcPr>
          <w:p>
            <w:r>
              <w:t>Audience</w:t>
            </w:r>
          </w:p>
        </w:tc>
        <w:tc>
          <w:tcPr>
            <w:tcW w:type="dxa" w:w="1440"/>
          </w:tcPr>
          <w:p>
            <w:r>
              <w:t>Content</w:t>
            </w:r>
          </w:p>
        </w:tc>
        <w:tc>
          <w:tcPr>
            <w:tcW w:type="dxa" w:w="1440"/>
          </w:tcPr>
          <w:p>
            <w:r>
              <w:t>Format</w:t>
            </w:r>
          </w:p>
        </w:tc>
      </w:tr>
      <w:tr>
        <w:tc>
          <w:tcPr>
            <w:tcW w:type="dxa" w:w="1440"/>
          </w:tcPr>
          <w:p>
            <w:r>
              <w:t>Monthly Program Status Report</w:t>
            </w:r>
          </w:p>
        </w:tc>
        <w:tc>
          <w:tcPr>
            <w:tcW w:type="dxa" w:w="1440"/>
          </w:tcPr>
          <w:p>
            <w:r>
              <w:t>Monthly (by 15th)</w:t>
            </w:r>
          </w:p>
        </w:tc>
        <w:tc>
          <w:tcPr>
            <w:tcW w:type="dxa" w:w="1440"/>
          </w:tcPr>
          <w:p>
            <w:r>
              <w:t>C. Tyrrell</w:t>
            </w:r>
          </w:p>
        </w:tc>
        <w:tc>
          <w:tcPr>
            <w:tcW w:type="dxa" w:w="1440"/>
          </w:tcPr>
          <w:p>
            <w:r>
              <w:t>Executive Steering Board + Project Sponsors</w:t>
            </w:r>
          </w:p>
        </w:tc>
        <w:tc>
          <w:tcPr>
            <w:tcW w:type="dxa" w:w="1440"/>
          </w:tcPr>
          <w:p>
            <w:r>
              <w:t>10-page narrative: executive summary, schedule health (SPI), budget health (CPI/EAC), risk summary (RAIDD delta), quality metrics, staffing status, key decisions made, next-month priorities</w:t>
            </w:r>
          </w:p>
        </w:tc>
        <w:tc>
          <w:tcPr>
            <w:tcW w:type="dxa" w:w="1440"/>
          </w:tcPr>
          <w:p>
            <w:r>
              <w:t>Written report (PDF) + dashboard attachment</w:t>
            </w:r>
          </w:p>
        </w:tc>
      </w:tr>
      <w:tr>
        <w:tc>
          <w:tcPr>
            <w:tcW w:type="dxa" w:w="1440"/>
          </w:tcPr>
          <w:p>
            <w:r>
              <w:t>Program Newsletter</w:t>
            </w:r>
          </w:p>
        </w:tc>
        <w:tc>
          <w:tcPr>
            <w:tcW w:type="dxa" w:w="1440"/>
          </w:tcPr>
          <w:p>
            <w:r>
              <w:t>Monthly</w:t>
            </w:r>
          </w:p>
        </w:tc>
        <w:tc>
          <w:tcPr>
            <w:tcW w:type="dxa" w:w="1440"/>
          </w:tcPr>
          <w:p>
            <w:r>
              <w:t>B. Sullivan (Corp Comms)</w:t>
            </w:r>
          </w:p>
        </w:tc>
        <w:tc>
          <w:tcPr>
            <w:tcW w:type="dxa" w:w="1440"/>
          </w:tcPr>
          <w:p>
            <w:r>
              <w:t>All ACME staff impacted by program</w:t>
            </w:r>
          </w:p>
        </w:tc>
        <w:tc>
          <w:tcPr>
            <w:tcW w:type="dxa" w:w="1440"/>
          </w:tcPr>
          <w:p>
            <w:r>
              <w:t>Milestone achievements, upcoming changes, team spotlights, FAQ, training announcements. Tone: informative and positive without overselling. No technical jargon.</w:t>
            </w:r>
          </w:p>
        </w:tc>
        <w:tc>
          <w:tcPr>
            <w:tcW w:type="dxa" w:w="1440"/>
          </w:tcPr>
          <w:p>
            <w:r>
              <w:t>Email newsletter (HTML)</w:t>
            </w:r>
          </w:p>
        </w:tc>
      </w:tr>
      <w:tr>
        <w:tc>
          <w:tcPr>
            <w:tcW w:type="dxa" w:w="1440"/>
          </w:tcPr>
          <w:p>
            <w:r>
              <w:t>Quarterly Risk &amp; Assumption Review</w:t>
            </w:r>
          </w:p>
        </w:tc>
        <w:tc>
          <w:tcPr>
            <w:tcW w:type="dxa" w:w="1440"/>
          </w:tcPr>
          <w:p>
            <w:r>
              <w:t>Quarterly</w:t>
            </w:r>
          </w:p>
        </w:tc>
        <w:tc>
          <w:tcPr>
            <w:tcW w:type="dxa" w:w="1440"/>
          </w:tcPr>
          <w:p>
            <w:r>
              <w:t>All 3 governance boards</w:t>
            </w:r>
          </w:p>
        </w:tc>
        <w:tc>
          <w:tcPr>
            <w:tcW w:type="dxa" w:w="1440"/>
          </w:tcPr>
          <w:p>
            <w:r>
              <w:t>RAIDD stakeholders</w:t>
            </w:r>
          </w:p>
        </w:tc>
        <w:tc>
          <w:tcPr>
            <w:tcW w:type="dxa" w:w="1440"/>
          </w:tcPr>
          <w:p>
            <w:r>
              <w:t>Comprehensive re-assessment of all 10 risks, 6 assumptions, open issues, and dependencies. Probability/impact scores updated. New risks identified.</w:t>
            </w:r>
          </w:p>
        </w:tc>
        <w:tc>
          <w:tcPr>
            <w:tcW w:type="dxa" w:w="1440"/>
          </w:tcPr>
          <w:p>
            <w:r>
              <w:t>2-hour working session + updated RAIDD Log</w:t>
            </w:r>
          </w:p>
        </w:tc>
      </w:tr>
      <w:tr>
        <w:tc>
          <w:tcPr>
            <w:tcW w:type="dxa" w:w="1440"/>
          </w:tcPr>
          <w:p>
            <w:r>
              <w:t>Quarterly Financial Review</w:t>
            </w:r>
          </w:p>
        </w:tc>
        <w:tc>
          <w:tcPr>
            <w:tcW w:type="dxa" w:w="1440"/>
          </w:tcPr>
          <w:p>
            <w:r>
              <w:t>Quarterly</w:t>
            </w:r>
          </w:p>
        </w:tc>
        <w:tc>
          <w:tcPr>
            <w:tcW w:type="dxa" w:w="1440"/>
          </w:tcPr>
          <w:p>
            <w:r>
              <w:t>A. Rodriguez</w:t>
            </w:r>
          </w:p>
        </w:tc>
        <w:tc>
          <w:tcPr>
            <w:tcW w:type="dxa" w:w="1440"/>
          </w:tcPr>
          <w:p>
            <w:r>
              <w:t>Executive Steering Board + CFO</w:t>
            </w:r>
          </w:p>
        </w:tc>
        <w:tc>
          <w:tcPr>
            <w:tcW w:type="dxa" w:w="1440"/>
          </w:tcPr>
          <w:p>
            <w:r>
              <w:t>Year-to-date spend vs. budget, CPI/SPI trends, EAC forecast, contingency balance, SOW milestone payment status</w:t>
            </w:r>
          </w:p>
        </w:tc>
        <w:tc>
          <w:tcPr>
            <w:tcW w:type="dxa" w:w="1440"/>
          </w:tcPr>
          <w:p>
            <w:r>
              <w:t>Financial report (10 pages) + presentation</w:t>
            </w:r>
          </w:p>
        </w:tc>
      </w:tr>
    </w:tbl>
    <w:p/>
    <w:p>
      <w:pPr>
        <w:pStyle w:val="Heading2"/>
      </w:pPr>
      <w:r>
        <w:t>4. Executive &amp; Board Communications</w:t>
      </w:r>
    </w:p>
    <w:p>
      <w:pPr>
        <w:pStyle w:val="Heading3"/>
      </w:pPr>
      <w:r>
        <w:t>4.1 Executive Steering Board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Communication</w:t>
            </w:r>
          </w:p>
        </w:tc>
        <w:tc>
          <w:tcPr>
            <w:tcW w:type="dxa" w:w="1728"/>
          </w:tcPr>
          <w:p>
            <w:r>
              <w:t>Frequency</w:t>
            </w:r>
          </w:p>
        </w:tc>
        <w:tc>
          <w:tcPr>
            <w:tcW w:type="dxa" w:w="1728"/>
          </w:tcPr>
          <w:p>
            <w:r>
              <w:t>Duration</w:t>
            </w:r>
          </w:p>
        </w:tc>
        <w:tc>
          <w:tcPr>
            <w:tcW w:type="dxa" w:w="1728"/>
          </w:tcPr>
          <w:p>
            <w:r>
              <w:t>Content</w:t>
            </w:r>
          </w:p>
        </w:tc>
        <w:tc>
          <w:tcPr>
            <w:tcW w:type="dxa" w:w="1728"/>
          </w:tcPr>
          <w:p>
            <w:r>
              <w:t>Preparation</w:t>
            </w:r>
          </w:p>
        </w:tc>
      </w:tr>
      <w:tr>
        <w:tc>
          <w:tcPr>
            <w:tcW w:type="dxa" w:w="1728"/>
          </w:tcPr>
          <w:p>
            <w:r>
              <w:t>Standing Board Meeting</w:t>
            </w:r>
          </w:p>
        </w:tc>
        <w:tc>
          <w:tcPr>
            <w:tcW w:type="dxa" w:w="1728"/>
          </w:tcPr>
          <w:p>
            <w:r>
              <w:t>Bi-weekly</w:t>
            </w:r>
          </w:p>
        </w:tc>
        <w:tc>
          <w:tcPr>
            <w:tcW w:type="dxa" w:w="1728"/>
          </w:tcPr>
          <w:p>
            <w:r>
              <w:t>90 min</w:t>
            </w:r>
          </w:p>
        </w:tc>
        <w:tc>
          <w:tcPr>
            <w:tcW w:type="dxa" w:w="1728"/>
          </w:tcPr>
          <w:p>
            <w:r>
              <w:t>30 min: scorecard walkthrough (RAG status, key metrics). 60 min: deep dive on 1–2 priority topics (risk escalation, phase-gate prep, budget issue, vendor decision)</w:t>
            </w:r>
          </w:p>
        </w:tc>
        <w:tc>
          <w:tcPr>
            <w:tcW w:type="dxa" w:w="1728"/>
          </w:tcPr>
          <w:p>
            <w:r>
              <w:t>Scorecard distributed 2 business days before meeting. Deep-dive topics agreed with Chair (M. Kavanagh) 1 week before.</w:t>
            </w:r>
          </w:p>
        </w:tc>
      </w:tr>
      <w:tr>
        <w:tc>
          <w:tcPr>
            <w:tcW w:type="dxa" w:w="1728"/>
          </w:tcPr>
          <w:p>
            <w:r>
              <w:t>Phase-Gate Package</w:t>
            </w:r>
          </w:p>
        </w:tc>
        <w:tc>
          <w:tcPr>
            <w:tcW w:type="dxa" w:w="1728"/>
          </w:tcPr>
          <w:p>
            <w:r>
              <w:t>At each gate (5 per BRD cycle)</w:t>
            </w:r>
          </w:p>
        </w:tc>
        <w:tc>
          <w:tcPr>
            <w:tcW w:type="dxa" w:w="1728"/>
          </w:tcPr>
          <w:p>
            <w:r>
              <w:t>2 hrs (gate meeting)</w:t>
            </w:r>
          </w:p>
        </w:tc>
        <w:tc>
          <w:tcPr>
            <w:tcW w:type="dxa" w:w="1728"/>
          </w:tcPr>
          <w:p>
            <w:r>
              <w:t>Executive summary (2 pages), deliverable completion matrix, risk assessment update, quality metrics, resource plan for next phase, budget forecast. SeeGovernance Model§8.</w:t>
            </w:r>
          </w:p>
        </w:tc>
        <w:tc>
          <w:tcPr>
            <w:tcW w:type="dxa" w:w="1728"/>
          </w:tcPr>
          <w:p>
            <w:r>
              <w:t>Distributed T minus 7 business days. Board Q&amp;A responses appended by T minus 2.</w:t>
            </w:r>
          </w:p>
        </w:tc>
      </w:tr>
      <w:tr>
        <w:tc>
          <w:tcPr>
            <w:tcW w:type="dxa" w:w="1728"/>
          </w:tcPr>
          <w:p>
            <w:r>
              <w:t>Ad-Hoc Escalation Briefing</w:t>
            </w:r>
          </w:p>
        </w:tc>
        <w:tc>
          <w:tcPr>
            <w:tcW w:type="dxa" w:w="1728"/>
          </w:tcPr>
          <w:p>
            <w:r>
              <w:t>As needed</w:t>
            </w:r>
          </w:p>
        </w:tc>
        <w:tc>
          <w:tcPr>
            <w:tcW w:type="dxa" w:w="1728"/>
          </w:tcPr>
          <w:p>
            <w:r>
              <w:t>30–60 min</w:t>
            </w:r>
          </w:p>
        </w:tc>
        <w:tc>
          <w:tcPr>
            <w:tcW w:type="dxa" w:w="1728"/>
          </w:tcPr>
          <w:p>
            <w:r>
              <w:t>Triggered by: budget variance &gt;10%, schedule slip &gt;2 weeks on critical path, regulatory inquiry, security incident, or model incident. Content: what happened, impact, options, recommendation.</w:t>
            </w:r>
          </w:p>
        </w:tc>
        <w:tc>
          <w:tcPr>
            <w:tcW w:type="dxa" w:w="1728"/>
          </w:tcPr>
          <w:p>
            <w:r>
              <w:t>Briefing note prepared within 24 hours of trigger event. Meeting scheduled within 48 hours.</w:t>
            </w:r>
          </w:p>
        </w:tc>
      </w:tr>
    </w:tbl>
    <w:p/>
    <w:p>
      <w:pPr>
        <w:pStyle w:val="Heading3"/>
      </w:pPr>
      <w:r>
        <w:t>4.2 ACME Board of Directors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Communication</w:t>
            </w:r>
          </w:p>
        </w:tc>
        <w:tc>
          <w:tcPr>
            <w:tcW w:type="dxa" w:w="1728"/>
          </w:tcPr>
          <w:p>
            <w:r>
              <w:t>Frequency</w:t>
            </w:r>
          </w:p>
        </w:tc>
        <w:tc>
          <w:tcPr>
            <w:tcW w:type="dxa" w:w="1728"/>
          </w:tcPr>
          <w:p>
            <w:r>
              <w:t>Duration</w:t>
            </w:r>
          </w:p>
        </w:tc>
        <w:tc>
          <w:tcPr>
            <w:tcW w:type="dxa" w:w="1728"/>
          </w:tcPr>
          <w:p>
            <w:r>
              <w:t>Content</w:t>
            </w:r>
          </w:p>
        </w:tc>
        <w:tc>
          <w:tcPr>
            <w:tcW w:type="dxa" w:w="1728"/>
          </w:tcPr>
          <w:p>
            <w:r>
              <w:t>Owner</w:t>
            </w:r>
          </w:p>
        </w:tc>
      </w:tr>
      <w:tr>
        <w:tc>
          <w:tcPr>
            <w:tcW w:type="dxa" w:w="1728"/>
          </w:tcPr>
          <w:p>
            <w:r>
              <w:t>Quarterly Board Update</w:t>
            </w:r>
          </w:p>
        </w:tc>
        <w:tc>
          <w:tcPr>
            <w:tcW w:type="dxa" w:w="1728"/>
          </w:tcPr>
          <w:p>
            <w:r>
              <w:t>Quarterly</w:t>
            </w:r>
          </w:p>
        </w:tc>
        <w:tc>
          <w:tcPr>
            <w:tcW w:type="dxa" w:w="1728"/>
          </w:tcPr>
          <w:p>
            <w:r>
              <w:t>30 min (within Board meeting)</w:t>
            </w:r>
          </w:p>
        </w:tc>
        <w:tc>
          <w:tcPr>
            <w:tcW w:type="dxa" w:w="1728"/>
          </w:tcPr>
          <w:p>
            <w:r>
              <w:t>Strategic progress summary, competitive positioning impact, risk exposure (top 3 risks only), financial status (spend vs. authorization, EAC), regulatory posture, key upcoming milestones</w:t>
            </w:r>
          </w:p>
        </w:tc>
        <w:tc>
          <w:tcPr>
            <w:tcW w:type="dxa" w:w="1728"/>
          </w:tcPr>
          <w:p>
            <w:r>
              <w:t>M. Kavanagh (presents) via Audit Committee Liaison (A. Thompson)</w:t>
            </w:r>
          </w:p>
        </w:tc>
      </w:tr>
      <w:tr>
        <w:tc>
          <w:tcPr>
            <w:tcW w:type="dxa" w:w="1728"/>
          </w:tcPr>
          <w:p>
            <w:r>
              <w:t>Annual Program Review</w:t>
            </w:r>
          </w:p>
        </w:tc>
        <w:tc>
          <w:tcPr>
            <w:tcW w:type="dxa" w:w="1728"/>
          </w:tcPr>
          <w:p>
            <w:r>
              <w:t>Annually (at year-end Board meeting)</w:t>
            </w:r>
          </w:p>
        </w:tc>
        <w:tc>
          <w:tcPr>
            <w:tcW w:type="dxa" w:w="1728"/>
          </w:tcPr>
          <w:p>
            <w:r>
              <w:t>45 min</w:t>
            </w:r>
          </w:p>
        </w:tc>
        <w:tc>
          <w:tcPr>
            <w:tcW w:type="dxa" w:w="1728"/>
          </w:tcPr>
          <w:p>
            <w:r>
              <w:t>Year-in-review: achievements, benefits realized to date, budget performance, risk profile change, Year 2/3 preview, recommendation to continue/adjust</w:t>
            </w:r>
          </w:p>
        </w:tc>
        <w:tc>
          <w:tcPr>
            <w:tcW w:type="dxa" w:w="1728"/>
          </w:tcPr>
          <w:p>
            <w:r>
              <w:t>M. Kavanagh + C. Tyrrell (co-present)</w:t>
            </w:r>
          </w:p>
        </w:tc>
      </w:tr>
    </w:tbl>
    <w:p/>
    <w:p>
      <w:pPr>
        <w:pStyle w:val="Heading3"/>
      </w:pPr>
      <w:r>
        <w:t>4.3 AI Governance Board &amp; EARB</w:t>
      </w:r>
    </w:p>
    <w:p>
      <w:r>
        <w:t>Cadence defined inGovernance Model§3.2–3.3. Communications content:</w:t>
      </w:r>
    </w:p>
    <w:p>
      <w:pPr>
        <w:pStyle w:val="ListBullet"/>
      </w:pPr>
      <w:r>
        <w:t>AI Governance Board (bi-weekly):Model risk status, validation pipeline progress, fairness testing results, responsible AI compliance, regulatory tracker updates, shadow AI detection findings. Ad-hoc sessions for model validation reviews (model-specific review packet distributed 3 business days before).</w:t>
      </w:r>
    </w:p>
    <w:p>
      <w:pPr>
        <w:pStyle w:val="ListBullet"/>
      </w:pPr>
      <w:r>
        <w:t>EARB (weekly during build phases):Architecture decision log, security posture, integration testing status, platform performance metrics, data residency compliance verification. Ad-hoc sessions for security reviews and integration architecture sign-offs.</w:t>
      </w:r>
    </w:p>
    <w:p>
      <w:pPr>
        <w:pStyle w:val="Heading2"/>
      </w:pPr>
      <w:r>
        <w:t>5. External &amp; Regulatory Communications</w:t>
      </w:r>
    </w:p>
    <w:p>
      <w:pPr>
        <w:pStyle w:val="Heading3"/>
      </w:pPr>
      <w:r>
        <w:t>5.1 Regulatory Engagement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Audience</w:t>
            </w:r>
          </w:p>
        </w:tc>
        <w:tc>
          <w:tcPr>
            <w:tcW w:type="dxa" w:w="1728"/>
          </w:tcPr>
          <w:p>
            <w:r>
              <w:t>Frequency</w:t>
            </w:r>
          </w:p>
        </w:tc>
        <w:tc>
          <w:tcPr>
            <w:tcW w:type="dxa" w:w="1728"/>
          </w:tcPr>
          <w:p>
            <w:r>
              <w:t>Owner</w:t>
            </w:r>
          </w:p>
        </w:tc>
        <w:tc>
          <w:tcPr>
            <w:tcW w:type="dxa" w:w="1728"/>
          </w:tcPr>
          <w:p>
            <w:r>
              <w:t>Content</w:t>
            </w:r>
          </w:p>
        </w:tc>
        <w:tc>
          <w:tcPr>
            <w:tcW w:type="dxa" w:w="1728"/>
          </w:tcPr>
          <w:p>
            <w:r>
              <w:t>Approach</w:t>
            </w:r>
          </w:p>
        </w:tc>
      </w:tr>
      <w:tr>
        <w:tc>
          <w:tcPr>
            <w:tcW w:type="dxa" w:w="1728"/>
          </w:tcPr>
          <w:p>
            <w:r>
              <w:t>State Insurance Departments</w:t>
            </w:r>
          </w:p>
        </w:tc>
        <w:tc>
          <w:tcPr>
            <w:tcW w:type="dxa" w:w="1728"/>
          </w:tcPr>
          <w:p>
            <w:r>
              <w:t>Quarterly</w:t>
            </w:r>
          </w:p>
        </w:tc>
        <w:tc>
          <w:tcPr>
            <w:tcW w:type="dxa" w:w="1728"/>
          </w:tcPr>
          <w:p>
            <w:r>
              <w:t>R. Thorne (General Counsel)</w:t>
            </w:r>
          </w:p>
        </w:tc>
        <w:tc>
          <w:tcPr>
            <w:tcW w:type="dxa" w:w="1728"/>
          </w:tcPr>
          <w:p>
            <w:r>
              <w:t>AI governance framework summary, model validation methodology, fairness testing results (aggregate, not model-specific), CMS-0057-F compliance status</w:t>
            </w:r>
          </w:p>
        </w:tc>
        <w:tc>
          <w:tcPr>
            <w:tcW w:type="dxa" w:w="1728"/>
          </w:tcPr>
          <w:p>
            <w:r>
              <w:t>Proactive: ACME initiates the briefing, demonstrating governance maturity before any regulatory inquiry. Builds trust and transparency.</w:t>
            </w:r>
          </w:p>
        </w:tc>
      </w:tr>
      <w:tr>
        <w:tc>
          <w:tcPr>
            <w:tcW w:type="dxa" w:w="1728"/>
          </w:tcPr>
          <w:p>
            <w:r>
              <w:t>CMS Liaisons</w:t>
            </w:r>
          </w:p>
        </w:tc>
        <w:tc>
          <w:tcPr>
            <w:tcW w:type="dxa" w:w="1728"/>
          </w:tcPr>
          <w:p>
            <w:r>
              <w:t>Quarterly (aligned with state briefings)</w:t>
            </w:r>
          </w:p>
        </w:tc>
        <w:tc>
          <w:tcPr>
            <w:tcW w:type="dxa" w:w="1728"/>
          </w:tcPr>
          <w:p>
            <w:r>
              <w:t>J. Martinez (VP Compliance)</w:t>
            </w:r>
          </w:p>
        </w:tc>
        <w:tc>
          <w:tcPr>
            <w:tcW w:type="dxa" w:w="1728"/>
          </w:tcPr>
          <w:p>
            <w:r>
              <w:t>Prior Authorization API implementation status, decision-timeline performance, public reporting readiness</w:t>
            </w:r>
          </w:p>
        </w:tc>
        <w:tc>
          <w:tcPr>
            <w:tcW w:type="dxa" w:w="1728"/>
          </w:tcPr>
          <w:p>
            <w:r>
              <w:t>Proactive: demonstrate compliance ahead of enforcement deadlines</w:t>
            </w:r>
          </w:p>
        </w:tc>
      </w:tr>
      <w:tr>
        <w:tc>
          <w:tcPr>
            <w:tcW w:type="dxa" w:w="1728"/>
          </w:tcPr>
          <w:p>
            <w:r>
              <w:t>NAIC (if requested)</w:t>
            </w:r>
          </w:p>
        </w:tc>
        <w:tc>
          <w:tcPr>
            <w:tcW w:type="dxa" w:w="1728"/>
          </w:tcPr>
          <w:p>
            <w:r>
              <w:t>On request</w:t>
            </w:r>
          </w:p>
        </w:tc>
        <w:tc>
          <w:tcPr>
            <w:tcW w:type="dxa" w:w="1728"/>
          </w:tcPr>
          <w:p>
            <w:r>
              <w:t>R. Thorne</w:t>
            </w:r>
          </w:p>
        </w:tc>
        <w:tc>
          <w:tcPr>
            <w:tcW w:type="dxa" w:w="1728"/>
          </w:tcPr>
          <w:p>
            <w:r>
              <w:t>AI governance documentation package: framework, testing methodology, model inventory, fairness results</w:t>
            </w:r>
          </w:p>
        </w:tc>
        <w:tc>
          <w:tcPr>
            <w:tcW w:type="dxa" w:w="1728"/>
          </w:tcPr>
          <w:p>
            <w:r>
              <w:t>Responsive: prepared documentation package producible within 48 hours of request</w:t>
            </w:r>
          </w:p>
        </w:tc>
      </w:tr>
    </w:tbl>
    <w:p/>
    <w:p>
      <w:pPr>
        <w:pStyle w:val="Heading3"/>
      </w:pPr>
      <w:r>
        <w:t>5.2 Provider Communications</w:t>
      </w:r>
    </w:p>
    <w:p>
      <w:pPr>
        <w:pStyle w:val="ListBullet"/>
      </w:pPr>
      <w:r>
        <w:t>PA workflow changes (BRD-01):Provider bulletin issued 60 days before BRD-01 production launch, detailing: new FHIR API capabilities, faster decision timelines, new determination-letter format with detailed denial rationale, and peer-to-peer review process changes. Follow-up bulletin at 30 days and launch day.</w:t>
      </w:r>
    </w:p>
    <w:p>
      <w:pPr>
        <w:pStyle w:val="ListBullet"/>
      </w:pPr>
      <w:r>
        <w:t>Provider portal enhancements (BRD-02):Provider-facing self-service features communicated through portal notification banner, account manager briefings (top 100 provider groups), and provider newsletter.</w:t>
      </w:r>
    </w:p>
    <w:p>
      <w:pPr>
        <w:pStyle w:val="ListBullet"/>
      </w:pPr>
      <w:r>
        <w:t>Ongoing:Provider satisfaction survey administered quarterly to measure impact of AI-driven changes on provider experience.</w:t>
      </w:r>
    </w:p>
    <w:p>
      <w:pPr>
        <w:pStyle w:val="Heading2"/>
      </w:pPr>
      <w:r>
        <w:t>6. AI-Specific Mandatory Escalation Notifications</w:t>
      </w:r>
    </w:p>
    <w:p>
      <w:pPr>
        <w:ind w:left="432"/>
      </w:pPr>
      <w:r>
        <w:rPr>
          <w:sz w:val="22"/>
        </w:rPr>
        <w:t>These are governance-mandated notifications with defined time windows.Missing a mandatory escalation notification is a governance violation, not a communications oversight. The time windows below are maximum response times — notification should occur as soon as the event is confirmed, not at the deadline. SeeGovernance Model§5.2 and §20 for the full escalation framework.</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Trigger Event</w:t>
            </w:r>
          </w:p>
        </w:tc>
        <w:tc>
          <w:tcPr>
            <w:tcW w:type="dxa" w:w="1440"/>
          </w:tcPr>
          <w:p>
            <w:r>
              <w:t>Notification Window</w:t>
            </w:r>
          </w:p>
        </w:tc>
        <w:tc>
          <w:tcPr>
            <w:tcW w:type="dxa" w:w="1440"/>
          </w:tcPr>
          <w:p>
            <w:r>
              <w:t>Notification Owner</w:t>
            </w:r>
          </w:p>
        </w:tc>
        <w:tc>
          <w:tcPr>
            <w:tcW w:type="dxa" w:w="1440"/>
          </w:tcPr>
          <w:p>
            <w:r>
              <w:t>Notified Parties</w:t>
            </w:r>
          </w:p>
        </w:tc>
        <w:tc>
          <w:tcPr>
            <w:tcW w:type="dxa" w:w="1440"/>
          </w:tcPr>
          <w:p>
            <w:r>
              <w:t>Required Content</w:t>
            </w:r>
          </w:p>
        </w:tc>
        <w:tc>
          <w:tcPr>
            <w:tcW w:type="dxa" w:w="1440"/>
          </w:tcPr>
          <w:p>
            <w:r>
              <w:t>Follow-Up</w:t>
            </w:r>
          </w:p>
        </w:tc>
      </w:tr>
      <w:tr>
        <w:tc>
          <w:tcPr>
            <w:tcW w:type="dxa" w:w="1440"/>
          </w:tcPr>
          <w:p>
            <w:r>
              <w:t>Model Validation Critical/High Finding</w:t>
            </w:r>
          </w:p>
        </w:tc>
        <w:tc>
          <w:tcPr>
            <w:tcW w:type="dxa" w:w="1440"/>
          </w:tcPr>
          <w:p>
            <w:r>
              <w:t>Within 24 hours of finding</w:t>
            </w:r>
          </w:p>
        </w:tc>
        <w:tc>
          <w:tcPr>
            <w:tcW w:type="dxa" w:w="1440"/>
          </w:tcPr>
          <w:p>
            <w:r>
              <w:t>P. Okafor (Validation Lead)</w:t>
            </w:r>
          </w:p>
        </w:tc>
        <w:tc>
          <w:tcPr>
            <w:tcW w:type="dxa" w:w="1440"/>
          </w:tcPr>
          <w:p>
            <w:r>
              <w:t>AI Governance Board, BRD Lead, Program Director</w:t>
            </w:r>
          </w:p>
        </w:tc>
        <w:tc>
          <w:tcPr>
            <w:tcW w:type="dxa" w:w="1440"/>
          </w:tcPr>
          <w:p>
            <w:r>
              <w:t>Finding classification, affected model, impact assessment, recommended remediation</w:t>
            </w:r>
          </w:p>
        </w:tc>
        <w:tc>
          <w:tcPr>
            <w:tcW w:type="dxa" w:w="1440"/>
          </w:tcPr>
          <w:p>
            <w:r>
              <w:t>Remediation plan within 5 business days; re-validation scheduled</w:t>
            </w:r>
          </w:p>
        </w:tc>
      </w:tr>
      <w:tr>
        <w:tc>
          <w:tcPr>
            <w:tcW w:type="dxa" w:w="1440"/>
          </w:tcPr>
          <w:p>
            <w:r>
              <w:t>Hallucination or Factual Error in Production (BRD-02)</w:t>
            </w:r>
          </w:p>
        </w:tc>
        <w:tc>
          <w:tcPr>
            <w:tcW w:type="dxa" w:w="1440"/>
          </w:tcPr>
          <w:p>
            <w:r>
              <w:t>Within 24 hours of detection</w:t>
            </w:r>
          </w:p>
        </w:tc>
        <w:tc>
          <w:tcPr>
            <w:tcW w:type="dxa" w:w="1440"/>
          </w:tcPr>
          <w:p>
            <w:r>
              <w:t>S. Khurana (AI Gov Director)</w:t>
            </w:r>
          </w:p>
        </w:tc>
        <w:tc>
          <w:tcPr>
            <w:tcW w:type="dxa" w:w="1440"/>
          </w:tcPr>
          <w:p>
            <w:r>
              <w:t>AI Governance Board, Executive Sponsor, General Counsel</w:t>
            </w:r>
          </w:p>
        </w:tc>
        <w:tc>
          <w:tcPr>
            <w:tcW w:type="dxa" w:w="1440"/>
          </w:tcPr>
          <w:p>
            <w:r>
              <w:t>What the system said, what the correct answer is, how many members affected, whether service is paused</w:t>
            </w:r>
          </w:p>
        </w:tc>
        <w:tc>
          <w:tcPr>
            <w:tcW w:type="dxa" w:w="1440"/>
          </w:tcPr>
          <w:p>
            <w:r>
              <w:t>Incident investigation within 48 hours; root-cause report within 5 business days</w:t>
            </w:r>
          </w:p>
        </w:tc>
      </w:tr>
      <w:tr>
        <w:tc>
          <w:tcPr>
            <w:tcW w:type="dxa" w:w="1440"/>
          </w:tcPr>
          <w:p>
            <w:r>
              <w:t>Regulatory Inquiry or Enforcement Action</w:t>
            </w:r>
          </w:p>
        </w:tc>
        <w:tc>
          <w:tcPr>
            <w:tcW w:type="dxa" w:w="1440"/>
          </w:tcPr>
          <w:p>
            <w:r>
              <w:t>Immediately upon receipt</w:t>
            </w:r>
          </w:p>
        </w:tc>
        <w:tc>
          <w:tcPr>
            <w:tcW w:type="dxa" w:w="1440"/>
          </w:tcPr>
          <w:p>
            <w:r>
              <w:t>R. Thorne (General Counsel)</w:t>
            </w:r>
          </w:p>
        </w:tc>
        <w:tc>
          <w:tcPr>
            <w:tcW w:type="dxa" w:w="1440"/>
          </w:tcPr>
          <w:p>
            <w:r>
              <w:t>Executive Steering Board, AI Governance Board, Executive Sponsor</w:t>
            </w:r>
          </w:p>
        </w:tc>
        <w:tc>
          <w:tcPr>
            <w:tcW w:type="dxa" w:w="1440"/>
          </w:tcPr>
          <w:p>
            <w:r>
              <w:t>Nature of inquiry, requesting body, response deadline, initial assessment of scope</w:t>
            </w:r>
          </w:p>
        </w:tc>
        <w:tc>
          <w:tcPr>
            <w:tcW w:type="dxa" w:w="1440"/>
          </w:tcPr>
          <w:p>
            <w:r>
              <w:t>Response strategy within 48 hours; response per regulatory deadline</w:t>
            </w:r>
          </w:p>
        </w:tc>
      </w:tr>
      <w:tr>
        <w:tc>
          <w:tcPr>
            <w:tcW w:type="dxa" w:w="1440"/>
          </w:tcPr>
          <w:p>
            <w:r>
              <w:t>Confirmed Security Breach or PHI Exposure</w:t>
            </w:r>
          </w:p>
        </w:tc>
        <w:tc>
          <w:tcPr>
            <w:tcW w:type="dxa" w:w="1440"/>
          </w:tcPr>
          <w:p>
            <w:r>
              <w:t>Within 4 hours of confirmation</w:t>
            </w:r>
          </w:p>
        </w:tc>
        <w:tc>
          <w:tcPr>
            <w:tcW w:type="dxa" w:w="1440"/>
          </w:tcPr>
          <w:p>
            <w:r>
              <w:t>M. Hassan (CISO)</w:t>
            </w:r>
          </w:p>
        </w:tc>
        <w:tc>
          <w:tcPr>
            <w:tcW w:type="dxa" w:w="1440"/>
          </w:tcPr>
          <w:p>
            <w:r>
              <w:t>Executive Sponsor, General Counsel, Chief Privacy Officer</w:t>
            </w:r>
          </w:p>
        </w:tc>
        <w:tc>
          <w:tcPr>
            <w:tcW w:type="dxa" w:w="1440"/>
          </w:tcPr>
          <w:p>
            <w:r>
              <w:t>Nature of breach, scope of exposure, systems affected, containment actions taken</w:t>
            </w:r>
          </w:p>
        </w:tc>
        <w:tc>
          <w:tcPr>
            <w:tcW w:type="dxa" w:w="1440"/>
          </w:tcPr>
          <w:p>
            <w:r>
              <w:t>HIPAA breach notification assessment within 24 hours; remediation plan within 48 hours</w:t>
            </w:r>
          </w:p>
        </w:tc>
      </w:tr>
      <w:tr>
        <w:tc>
          <w:tcPr>
            <w:tcW w:type="dxa" w:w="1440"/>
          </w:tcPr>
          <w:p>
            <w:r>
              <w:t>Budget Variance &gt;10% in Any Cost Category</w:t>
            </w:r>
          </w:p>
        </w:tc>
        <w:tc>
          <w:tcPr>
            <w:tcW w:type="dxa" w:w="1440"/>
          </w:tcPr>
          <w:p>
            <w:r>
              <w:t>Within 48 hours of identification</w:t>
            </w:r>
          </w:p>
        </w:tc>
        <w:tc>
          <w:tcPr>
            <w:tcW w:type="dxa" w:w="1440"/>
          </w:tcPr>
          <w:p>
            <w:r>
              <w:t>A. Rodriguez (Program Finance)</w:t>
            </w:r>
          </w:p>
        </w:tc>
        <w:tc>
          <w:tcPr>
            <w:tcW w:type="dxa" w:w="1440"/>
          </w:tcPr>
          <w:p>
            <w:r>
              <w:t>Program Director, CFO, Executive Steering Board</w:t>
            </w:r>
          </w:p>
        </w:tc>
        <w:tc>
          <w:tcPr>
            <w:tcW w:type="dxa" w:w="1440"/>
          </w:tcPr>
          <w:p>
            <w:r>
              <w:t>Which category, variance amount, root cause, impact on EAC, recommended corrective action</w:t>
            </w:r>
          </w:p>
        </w:tc>
        <w:tc>
          <w:tcPr>
            <w:tcW w:type="dxa" w:w="1440"/>
          </w:tcPr>
          <w:p>
            <w:r>
              <w:t>Corrective action plan within 5 business days; monthly monitoring intensified</w:t>
            </w:r>
          </w:p>
        </w:tc>
      </w:tr>
      <w:tr>
        <w:tc>
          <w:tcPr>
            <w:tcW w:type="dxa" w:w="1440"/>
          </w:tcPr>
          <w:p>
            <w:r>
              <w:t>Schedule Slippage &gt;2 Weeks on Critical Path</w:t>
            </w:r>
          </w:p>
        </w:tc>
        <w:tc>
          <w:tcPr>
            <w:tcW w:type="dxa" w:w="1440"/>
          </w:tcPr>
          <w:p>
            <w:r>
              <w:t>Within 48 hours of identification</w:t>
            </w:r>
          </w:p>
        </w:tc>
        <w:tc>
          <w:tcPr>
            <w:tcW w:type="dxa" w:w="1440"/>
          </w:tcPr>
          <w:p>
            <w:r>
              <w:t>M. Torres (Senior Scheduler)</w:t>
            </w:r>
          </w:p>
        </w:tc>
        <w:tc>
          <w:tcPr>
            <w:tcW w:type="dxa" w:w="1440"/>
          </w:tcPr>
          <w:p>
            <w:r>
              <w:t>Program Director, affected Board(s)</w:t>
            </w:r>
          </w:p>
        </w:tc>
        <w:tc>
          <w:tcPr>
            <w:tcW w:type="dxa" w:w="1440"/>
          </w:tcPr>
          <w:p>
            <w:r>
              <w:t>Which milestone, slip duration, root cause, impact on downstream milestones, recovery options</w:t>
            </w:r>
          </w:p>
        </w:tc>
        <w:tc>
          <w:tcPr>
            <w:tcW w:type="dxa" w:w="1440"/>
          </w:tcPr>
          <w:p>
            <w:r>
              <w:t>Recovery plan within 5 business days; board escalation if recovery exceeds Program Director authority</w:t>
            </w:r>
          </w:p>
        </w:tc>
      </w:tr>
      <w:tr>
        <w:tc>
          <w:tcPr>
            <w:tcW w:type="dxa" w:w="1440"/>
          </w:tcPr>
          <w:p>
            <w:r>
              <w:t>Fairness / Bias Anomaly Detected in Production</w:t>
            </w:r>
          </w:p>
        </w:tc>
        <w:tc>
          <w:tcPr>
            <w:tcW w:type="dxa" w:w="1440"/>
          </w:tcPr>
          <w:p>
            <w:r>
              <w:t>Within 48 hours of detection</w:t>
            </w:r>
          </w:p>
        </w:tc>
        <w:tc>
          <w:tcPr>
            <w:tcW w:type="dxa" w:w="1440"/>
          </w:tcPr>
          <w:p>
            <w:r>
              <w:t>S. Khurana (AI Gov Director)</w:t>
            </w:r>
          </w:p>
        </w:tc>
        <w:tc>
          <w:tcPr>
            <w:tcW w:type="dxa" w:w="1440"/>
          </w:tcPr>
          <w:p>
            <w:r>
              <w:t>AI Governance Board, relevant BRD Lead</w:t>
            </w:r>
          </w:p>
        </w:tc>
        <w:tc>
          <w:tcPr>
            <w:tcW w:type="dxa" w:w="1440"/>
          </w:tcPr>
          <w:p>
            <w:r>
              <w:t>Which model, which demographic disparity, magnitude of deviation, whether model is paused</w:t>
            </w:r>
          </w:p>
        </w:tc>
        <w:tc>
          <w:tcPr>
            <w:tcW w:type="dxa" w:w="1440"/>
          </w:tcPr>
          <w:p>
            <w:r>
              <w:t>Investigation within 5 business days; board review of findings</w:t>
            </w:r>
          </w:p>
        </w:tc>
      </w:tr>
      <w:tr>
        <w:tc>
          <w:tcPr>
            <w:tcW w:type="dxa" w:w="1440"/>
          </w:tcPr>
          <w:p>
            <w:r>
              <w:t>Shadow AI Initiative Identified in Production</w:t>
            </w:r>
          </w:p>
        </w:tc>
        <w:tc>
          <w:tcPr>
            <w:tcW w:type="dxa" w:w="1440"/>
          </w:tcPr>
          <w:p>
            <w:r>
              <w:t>Within 5 business days of identification</w:t>
            </w:r>
          </w:p>
        </w:tc>
        <w:tc>
          <w:tcPr>
            <w:tcW w:type="dxa" w:w="1440"/>
          </w:tcPr>
          <w:p>
            <w:r>
              <w:t>S. Khurana (AI Gov Director)</w:t>
            </w:r>
          </w:p>
        </w:tc>
        <w:tc>
          <w:tcPr>
            <w:tcW w:type="dxa" w:w="1440"/>
          </w:tcPr>
          <w:p>
            <w:r>
              <w:t>Program Director, EARB Chair</w:t>
            </w:r>
          </w:p>
        </w:tc>
        <w:tc>
          <w:tcPr>
            <w:tcW w:type="dxa" w:w="1440"/>
          </w:tcPr>
          <w:p>
            <w:r>
              <w:t>What was found, who deployed it, risk assessment (PHI exposure, governance gaps), recommended disposition</w:t>
            </w:r>
          </w:p>
        </w:tc>
        <w:tc>
          <w:tcPr>
            <w:tcW w:type="dxa" w:w="1440"/>
          </w:tcPr>
          <w:p>
            <w:r>
              <w:t>Disposition decision (fold-in, defer, reject) within 10 business days</w:t>
            </w:r>
          </w:p>
        </w:tc>
      </w:tr>
    </w:tbl>
    <w:p/>
    <w:p>
      <w:pPr>
        <w:pStyle w:val="Heading2"/>
      </w:pPr>
      <w:r>
        <w:t>7. Change Management &amp; Adoption Communications</w:t>
      </w:r>
    </w:p>
    <w:p>
      <w:r>
        <w:t>Change Management communications are owned by G. Okonkwo (Change Lead) and directly support the program's benefits realization. If frontline staff don't adopt the AI tools, the benefits documented in the CBA don't materialize — making communications a delivery mechanism, not an administrative function.</w:t>
      </w:r>
    </w:p>
    <w:p>
      <w:pPr>
        <w:pStyle w:val="Heading3"/>
      </w:pPr>
      <w:r>
        <w:t>7.1 Communications by Adoption Phase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Phase</w:t>
            </w:r>
          </w:p>
        </w:tc>
        <w:tc>
          <w:tcPr>
            <w:tcW w:type="dxa" w:w="1728"/>
          </w:tcPr>
          <w:p>
            <w:r>
              <w:t>Timing</w:t>
            </w:r>
          </w:p>
        </w:tc>
        <w:tc>
          <w:tcPr>
            <w:tcW w:type="dxa" w:w="1728"/>
          </w:tcPr>
          <w:p>
            <w:r>
              <w:t>Message</w:t>
            </w:r>
          </w:p>
        </w:tc>
        <w:tc>
          <w:tcPr>
            <w:tcW w:type="dxa" w:w="1728"/>
          </w:tcPr>
          <w:p>
            <w:r>
              <w:t>Channel</w:t>
            </w:r>
          </w:p>
        </w:tc>
        <w:tc>
          <w:tcPr>
            <w:tcW w:type="dxa" w:w="1728"/>
          </w:tcPr>
          <w:p>
            <w:r>
              <w:t>Owner</w:t>
            </w:r>
          </w:p>
        </w:tc>
      </w:tr>
      <w:tr>
        <w:tc>
          <w:tcPr>
            <w:tcW w:type="dxa" w:w="1728"/>
          </w:tcPr>
          <w:p>
            <w:r>
              <w:t>Awareness</w:t>
            </w:r>
          </w:p>
        </w:tc>
        <w:tc>
          <w:tcPr>
            <w:tcW w:type="dxa" w:w="1728"/>
          </w:tcPr>
          <w:p>
            <w:r>
              <w:t>6 months before BRD go-live</w:t>
            </w:r>
          </w:p>
        </w:tc>
        <w:tc>
          <w:tcPr>
            <w:tcW w:type="dxa" w:w="1728"/>
          </w:tcPr>
          <w:p>
            <w:r>
              <w:t>"This is coming and here's why it matters to you." Introduce the AI capability, explain what it does, address job-displacement concerns directly ("This augments your work, it doesn't replace you"), preview the training timeline.</w:t>
            </w:r>
          </w:p>
        </w:tc>
        <w:tc>
          <w:tcPr>
            <w:tcW w:type="dxa" w:w="1728"/>
          </w:tcPr>
          <w:p>
            <w:r>
              <w:t>Town halls, newsletter, supervisor briefings, intranet</w:t>
            </w:r>
          </w:p>
        </w:tc>
        <w:tc>
          <w:tcPr>
            <w:tcW w:type="dxa" w:w="1728"/>
          </w:tcPr>
          <w:p>
            <w:r>
              <w:t>G. Okonkwo + B. Sullivan</w:t>
            </w:r>
          </w:p>
        </w:tc>
      </w:tr>
      <w:tr>
        <w:tc>
          <w:tcPr>
            <w:tcW w:type="dxa" w:w="1728"/>
          </w:tcPr>
          <w:p>
            <w:r>
              <w:t>Understanding</w:t>
            </w:r>
          </w:p>
        </w:tc>
        <w:tc>
          <w:tcPr>
            <w:tcW w:type="dxa" w:w="1728"/>
          </w:tcPr>
          <w:p>
            <w:r>
              <w:t>3 months before go-live</w:t>
            </w:r>
          </w:p>
        </w:tc>
        <w:tc>
          <w:tcPr>
            <w:tcW w:type="dxa" w:w="1728"/>
          </w:tcPr>
          <w:p>
            <w:r>
              <w:t>"Here's exactly how it works." Show the tool in action (demo sessions), explain the workflow changes, introduce the opt-in timeline, answer questions in open forums.</w:t>
            </w:r>
          </w:p>
        </w:tc>
        <w:tc>
          <w:tcPr>
            <w:tcW w:type="dxa" w:w="1728"/>
          </w:tcPr>
          <w:p>
            <w:r>
              <w:t>Demo sessions, training preview videos, FAQ document, open Q&amp;A forums</w:t>
            </w:r>
          </w:p>
        </w:tc>
        <w:tc>
          <w:tcPr>
            <w:tcW w:type="dxa" w:w="1728"/>
          </w:tcPr>
          <w:p>
            <w:r>
              <w:t>G. Okonkwo + BRD Lead</w:t>
            </w:r>
          </w:p>
        </w:tc>
      </w:tr>
      <w:tr>
        <w:tc>
          <w:tcPr>
            <w:tcW w:type="dxa" w:w="1728"/>
          </w:tcPr>
          <w:p>
            <w:r>
              <w:t>Training</w:t>
            </w:r>
          </w:p>
        </w:tc>
        <w:tc>
          <w:tcPr>
            <w:tcW w:type="dxa" w:w="1728"/>
          </w:tcPr>
          <w:p>
            <w:r>
              <w:t>4–6 weeks before go-live</w:t>
            </w:r>
          </w:p>
        </w:tc>
        <w:tc>
          <w:tcPr>
            <w:tcW w:type="dxa" w:w="1728"/>
          </w:tcPr>
          <w:p>
            <w:r>
              <w:t>"Now it's your turn to try it." Hands-on training sessions, sandbox environments, peer coaching from early adopters.</w:t>
            </w:r>
          </w:p>
        </w:tc>
        <w:tc>
          <w:tcPr>
            <w:tcW w:type="dxa" w:w="1728"/>
          </w:tcPr>
          <w:p>
            <w:r>
              <w:t>In-person/virtual training sessions, sandbox access, peer coaching</w:t>
            </w:r>
          </w:p>
        </w:tc>
        <w:tc>
          <w:tcPr>
            <w:tcW w:type="dxa" w:w="1728"/>
          </w:tcPr>
          <w:p>
            <w:r>
              <w:t>D. Solis (Training Dev) + E. Winthrop (Facilitator)</w:t>
            </w:r>
          </w:p>
        </w:tc>
      </w:tr>
      <w:tr>
        <w:tc>
          <w:tcPr>
            <w:tcW w:type="dxa" w:w="1728"/>
          </w:tcPr>
          <w:p>
            <w:r>
              <w:t>Opt-In Launch</w:t>
            </w:r>
          </w:p>
        </w:tc>
        <w:tc>
          <w:tcPr>
            <w:tcW w:type="dxa" w:w="1728"/>
          </w:tcPr>
          <w:p>
            <w:r>
              <w:t>Go-live date</w:t>
            </w:r>
          </w:p>
        </w:tc>
        <w:tc>
          <w:tcPr>
            <w:tcW w:type="dxa" w:w="1728"/>
          </w:tcPr>
          <w:p>
            <w:r>
              <w:t>"You can start using it today — and here's your support system." Launch announcement, support desk availability, feedback mechanism, supervisor coaching guides.</w:t>
            </w:r>
          </w:p>
        </w:tc>
        <w:tc>
          <w:tcPr>
            <w:tcW w:type="dxa" w:w="1728"/>
          </w:tcPr>
          <w:p>
            <w:r>
              <w:t>Email, portal banner, supervisor talking points, help desk</w:t>
            </w:r>
          </w:p>
        </w:tc>
        <w:tc>
          <w:tcPr>
            <w:tcW w:type="dxa" w:w="1728"/>
          </w:tcPr>
          <w:p>
            <w:r>
              <w:t>G. Okonkwo + M. Washington (VP Customer Ops)</w:t>
            </w:r>
          </w:p>
        </w:tc>
      </w:tr>
      <w:tr>
        <w:tc>
          <w:tcPr>
            <w:tcW w:type="dxa" w:w="1728"/>
          </w:tcPr>
          <w:p>
            <w:r>
              <w:t>Reinforcement</w:t>
            </w:r>
          </w:p>
        </w:tc>
        <w:tc>
          <w:tcPr>
            <w:tcW w:type="dxa" w:w="1728"/>
          </w:tcPr>
          <w:p>
            <w:r>
              <w:t>1–3 months post go-live</w:t>
            </w:r>
          </w:p>
        </w:tc>
        <w:tc>
          <w:tcPr>
            <w:tcW w:type="dxa" w:w="1728"/>
          </w:tcPr>
          <w:p>
            <w:r>
              <w:t>"Here's what's working, here's what we've improved based on your feedback, here's what's next." Share adoption metrics, highlight success stories, address remaining concerns, announce refinements based on user feedback.</w:t>
            </w:r>
          </w:p>
        </w:tc>
        <w:tc>
          <w:tcPr>
            <w:tcW w:type="dxa" w:w="1728"/>
          </w:tcPr>
          <w:p>
            <w:r>
              <w:t>Newsletter, team meetings, supervisor updates, feedback loop closure</w:t>
            </w:r>
          </w:p>
        </w:tc>
        <w:tc>
          <w:tcPr>
            <w:tcW w:type="dxa" w:w="1728"/>
          </w:tcPr>
          <w:p>
            <w:r>
              <w:t>G. Okonkwo</w:t>
            </w:r>
          </w:p>
        </w:tc>
      </w:tr>
    </w:tbl>
    <w:p/>
    <w:p>
      <w:pPr>
        <w:pStyle w:val="Heading3"/>
      </w:pPr>
      <w:r>
        <w:t>7.2 Resistance Response</w:t>
      </w:r>
    </w:p>
    <w:p>
      <w:pPr>
        <w:pStyle w:val="ListBullet"/>
      </w:pPr>
      <w:r>
        <w:t>If adoption metrics (Section 10) indicate resistance (adoption rate &lt;40% at 4 weeks post-launch), the Change Management team conducts rapid assessment: focus groups and 1:1 interviews with non-adopters within 5 business days.</w:t>
      </w:r>
    </w:p>
    <w:p>
      <w:pPr>
        <w:pStyle w:val="ListBullet"/>
      </w:pPr>
      <w:r>
        <w:t>Resistance response is categorized by root cause: training gap (more/different training), workflow friction (UX adjustment), trust issue (more transparency about AI accuracy and human oversight), or organizational concern (supervisor-level coaching). Different root causes get different responses — not a one-size-fits-all "more training" answer.</w:t>
      </w:r>
    </w:p>
    <w:p>
      <w:pPr>
        <w:pStyle w:val="ListBullet"/>
      </w:pPr>
      <w:r>
        <w:t>If structural resistance persists after 8 weeks of targeted response, escalate to Executive Steering Board with options analysis (extend opt-in, increase Change Management budget, adjust BRD scope).</w:t>
      </w:r>
    </w:p>
    <w:p>
      <w:pPr>
        <w:pStyle w:val="Heading2"/>
      </w:pPr>
      <w:r>
        <w:t>8. Crisis Communications Protocol</w:t>
      </w:r>
    </w:p>
    <w:p>
      <w:r>
        <w:t>A "crisis" in the context of this program is an event that could become publicly visible and damage ACME's reputation, regulatory standing, or member trust. The threshold for activating crisis communications is: any event that a reasonable journalist, regulator, or member advocate would consider newsworthy if they learned about it.</w:t>
      </w:r>
    </w:p>
    <w:p>
      <w:pPr>
        <w:pStyle w:val="Heading3"/>
      </w:pPr>
      <w:r>
        <w:t>8.1 Crisis Categories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Category</w:t>
            </w:r>
          </w:p>
        </w:tc>
        <w:tc>
          <w:tcPr>
            <w:tcW w:type="dxa" w:w="2160"/>
          </w:tcPr>
          <w:p>
            <w:r>
              <w:t>Examples</w:t>
            </w:r>
          </w:p>
        </w:tc>
        <w:tc>
          <w:tcPr>
            <w:tcW w:type="dxa" w:w="2160"/>
          </w:tcPr>
          <w:p>
            <w:r>
              <w:t>Lead Communicator</w:t>
            </w:r>
          </w:p>
        </w:tc>
        <w:tc>
          <w:tcPr>
            <w:tcW w:type="dxa" w:w="2160"/>
          </w:tcPr>
          <w:p>
            <w:r>
              <w:t>Response Window</w:t>
            </w:r>
          </w:p>
        </w:tc>
      </w:tr>
      <w:tr>
        <w:tc>
          <w:tcPr>
            <w:tcW w:type="dxa" w:w="2160"/>
          </w:tcPr>
          <w:p>
            <w:r>
              <w:t>AI Incident (Member-Facing)</w:t>
            </w:r>
          </w:p>
        </w:tc>
        <w:tc>
          <w:tcPr>
            <w:tcW w:type="dxa" w:w="2160"/>
          </w:tcPr>
          <w:p>
            <w:r>
              <w:t>Chatbot hallucination affecting member coverage decisions; PA AI denying medically necessary care; member complaint going viral on social media</w:t>
            </w:r>
          </w:p>
        </w:tc>
        <w:tc>
          <w:tcPr>
            <w:tcW w:type="dxa" w:w="2160"/>
          </w:tcPr>
          <w:p>
            <w:r>
              <w:t>B. Sullivan (VP Comms) + R. Thorne (Legal)</w:t>
            </w:r>
          </w:p>
        </w:tc>
        <w:tc>
          <w:tcPr>
            <w:tcW w:type="dxa" w:w="2160"/>
          </w:tcPr>
          <w:p>
            <w:r>
              <w:t>Internal notification within 4 hours; public statement within 24 hours if needed</w:t>
            </w:r>
          </w:p>
        </w:tc>
      </w:tr>
      <w:tr>
        <w:tc>
          <w:tcPr>
            <w:tcW w:type="dxa" w:w="2160"/>
          </w:tcPr>
          <w:p>
            <w:r>
              <w:t>Data Breach / PHI Exposure</w:t>
            </w:r>
          </w:p>
        </w:tc>
        <w:tc>
          <w:tcPr>
            <w:tcW w:type="dxa" w:w="2160"/>
          </w:tcPr>
          <w:p>
            <w:r>
              <w:t>Unauthorized access to member data; offshore data residency violation; vendor breach affecting ACME data</w:t>
            </w:r>
          </w:p>
        </w:tc>
        <w:tc>
          <w:tcPr>
            <w:tcW w:type="dxa" w:w="2160"/>
          </w:tcPr>
          <w:p>
            <w:r>
              <w:t>M. Hassan (CISO) + E. Sato (CPO) + R. Thorne</w:t>
            </w:r>
          </w:p>
        </w:tc>
        <w:tc>
          <w:tcPr>
            <w:tcW w:type="dxa" w:w="2160"/>
          </w:tcPr>
          <w:p>
            <w:r>
              <w:t>HIPAA breach notification timeline (60 days for affected individuals; immediate for HHS if &gt;500 individuals)</w:t>
            </w:r>
          </w:p>
        </w:tc>
      </w:tr>
      <w:tr>
        <w:tc>
          <w:tcPr>
            <w:tcW w:type="dxa" w:w="2160"/>
          </w:tcPr>
          <w:p>
            <w:r>
              <w:t>Regulatory Enforcement</w:t>
            </w:r>
          </w:p>
        </w:tc>
        <w:tc>
          <w:tcPr>
            <w:tcW w:type="dxa" w:w="2160"/>
          </w:tcPr>
          <w:p>
            <w:r>
              <w:t>State attorney general investigation; CMS audit finding; NAIC inquiry</w:t>
            </w:r>
          </w:p>
        </w:tc>
        <w:tc>
          <w:tcPr>
            <w:tcW w:type="dxa" w:w="2160"/>
          </w:tcPr>
          <w:p>
            <w:r>
              <w:t>R. Thorne (Legal) + J. Martinez (Compliance)</w:t>
            </w:r>
          </w:p>
        </w:tc>
        <w:tc>
          <w:tcPr>
            <w:tcW w:type="dxa" w:w="2160"/>
          </w:tcPr>
          <w:p>
            <w:r>
              <w:t>Internal notification immediate; external response per regulatory timeline</w:t>
            </w:r>
          </w:p>
        </w:tc>
      </w:tr>
      <w:tr>
        <w:tc>
          <w:tcPr>
            <w:tcW w:type="dxa" w:w="2160"/>
          </w:tcPr>
          <w:p>
            <w:r>
              <w:t>Workforce Impact</w:t>
            </w:r>
          </w:p>
        </w:tc>
        <w:tc>
          <w:tcPr>
            <w:tcW w:type="dxa" w:w="2160"/>
          </w:tcPr>
          <w:p>
            <w:r>
              <w:t>Significant layoff or role restructuring attributed to AI deployment; union engagement; public employee concerns</w:t>
            </w:r>
          </w:p>
        </w:tc>
        <w:tc>
          <w:tcPr>
            <w:tcW w:type="dxa" w:w="2160"/>
          </w:tcPr>
          <w:p>
            <w:r>
              <w:t>C. Johnson (VP HR) + B. Sullivan</w:t>
            </w:r>
          </w:p>
        </w:tc>
        <w:tc>
          <w:tcPr>
            <w:tcW w:type="dxa" w:w="2160"/>
          </w:tcPr>
          <w:p>
            <w:r>
              <w:t>Internal communication before any public statement; coordinated with Legal</w:t>
            </w:r>
          </w:p>
        </w:tc>
      </w:tr>
    </w:tbl>
    <w:p/>
    <w:p>
      <w:pPr>
        <w:pStyle w:val="Heading3"/>
      </w:pPr>
      <w:r>
        <w:t>8.2 Crisis Response Process</w:t>
      </w:r>
    </w:p>
    <w:p>
      <w:pPr>
        <w:pStyle w:val="ListNumber"/>
      </w:pPr>
      <w:r>
        <w:t>Detection &amp; Assessment (0–4 hours):Event identified. Lead communicator assesses severity and public-visibility risk. Executive Sponsor and General Counsel notified.</w:t>
      </w:r>
    </w:p>
    <w:p>
      <w:pPr>
        <w:pStyle w:val="ListNumber"/>
      </w:pPr>
      <w:r>
        <w:t>Internal Alignment (4–12 hours):Crisis response team convened (Executive Sponsor, General Counsel, VP Comms, relevant Board chairs, Program Director). Facts confirmed. Talking points developed. Internal communication issued to program team and affected staff.</w:t>
      </w:r>
    </w:p>
    <w:p>
      <w:pPr>
        <w:pStyle w:val="ListNumber"/>
      </w:pPr>
      <w:r>
        <w:t>External Response (12–24 hours, if needed):Public statement issued only if: (a) the event is already public or likely to become public, (b) regulatory notification is required, or (c) member notification is required. Statement approved by General Counsel and Executive Sponsor before release.</w:t>
      </w:r>
    </w:p>
    <w:p>
      <w:pPr>
        <w:pStyle w:val="ListNumber"/>
      </w:pPr>
      <w:r>
        <w:t>Ongoing Management:Daily situation reports until crisis is resolved. Lessons learned captured. Communications plan updated if the crisis reveals a gap.</w:t>
      </w:r>
    </w:p>
    <w:p>
      <w:pPr>
        <w:pStyle w:val="Heading2"/>
      </w:pPr>
      <w:r>
        <w:t>9. Communications Tools &amp; Platforms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Tool / Platform</w:t>
            </w:r>
          </w:p>
        </w:tc>
        <w:tc>
          <w:tcPr>
            <w:tcW w:type="dxa" w:w="2160"/>
          </w:tcPr>
          <w:p>
            <w:r>
              <w:t>Purpose</w:t>
            </w:r>
          </w:p>
        </w:tc>
        <w:tc>
          <w:tcPr>
            <w:tcW w:type="dxa" w:w="2160"/>
          </w:tcPr>
          <w:p>
            <w:r>
              <w:t>Audience</w:t>
            </w:r>
          </w:p>
        </w:tc>
        <w:tc>
          <w:tcPr>
            <w:tcW w:type="dxa" w:w="2160"/>
          </w:tcPr>
          <w:p>
            <w:r>
              <w:t>Access</w:t>
            </w:r>
          </w:p>
        </w:tc>
      </w:tr>
      <w:tr>
        <w:tc>
          <w:tcPr>
            <w:tcW w:type="dxa" w:w="2160"/>
          </w:tcPr>
          <w:p>
            <w:r>
              <w:t>Project Portal (SharePoint / Confluence)</w:t>
            </w:r>
          </w:p>
        </w:tc>
        <w:tc>
          <w:tcPr>
            <w:tcW w:type="dxa" w:w="2160"/>
          </w:tcPr>
          <w:p>
            <w:r>
              <w:t>Document archive, RAIDD Log, gate packages, meeting minutes, governance records</w:t>
            </w:r>
          </w:p>
        </w:tc>
        <w:tc>
          <w:tcPr>
            <w:tcW w:type="dxa" w:w="2160"/>
          </w:tcPr>
          <w:p>
            <w:r>
              <w:t>All program team members (25 team leads + ICs)</w:t>
            </w:r>
          </w:p>
        </w:tc>
        <w:tc>
          <w:tcPr>
            <w:tcW w:type="dxa" w:w="2160"/>
          </w:tcPr>
          <w:p>
            <w:r>
              <w:t>RBAC: read for all program members; write for designated owners</w:t>
            </w:r>
          </w:p>
        </w:tc>
      </w:tr>
      <w:tr>
        <w:tc>
          <w:tcPr>
            <w:tcW w:type="dxa" w:w="2160"/>
          </w:tcPr>
          <w:p>
            <w:r>
              <w:t>Project Tracking Tool (Jira / ADO)</w:t>
            </w:r>
          </w:p>
        </w:tc>
        <w:tc>
          <w:tcPr>
            <w:tcW w:type="dxa" w:w="2160"/>
          </w:tcPr>
          <w:p>
            <w:r>
              <w:t>Sprint boards, backlog, story tracking, burndown charts, velocity reports</w:t>
            </w:r>
          </w:p>
        </w:tc>
        <w:tc>
          <w:tcPr>
            <w:tcW w:type="dxa" w:w="2160"/>
          </w:tcPr>
          <w:p>
            <w:r>
              <w:t>BRD delivery teams + PMO</w:t>
            </w:r>
          </w:p>
        </w:tc>
        <w:tc>
          <w:tcPr>
            <w:tcW w:type="dxa" w:w="2160"/>
          </w:tcPr>
          <w:p>
            <w:r>
              <w:t>Per team: BRD-01 team sees BRD-01 board; Program Director sees all</w:t>
            </w:r>
          </w:p>
        </w:tc>
      </w:tr>
      <w:tr>
        <w:tc>
          <w:tcPr>
            <w:tcW w:type="dxa" w:w="2160"/>
          </w:tcPr>
          <w:p>
            <w:r>
              <w:t>Email</w:t>
            </w:r>
          </w:p>
        </w:tc>
        <w:tc>
          <w:tcPr>
            <w:tcW w:type="dxa" w:w="2160"/>
          </w:tcPr>
          <w:p>
            <w:r>
              <w:t>Formal notifications, escalation communications, newsletter distribution, regulatory correspondence</w:t>
            </w:r>
          </w:p>
        </w:tc>
        <w:tc>
          <w:tcPr>
            <w:tcW w:type="dxa" w:w="2160"/>
          </w:tcPr>
          <w:p>
            <w:r>
              <w:t>All stakeholder groups</w:t>
            </w:r>
          </w:p>
        </w:tc>
        <w:tc>
          <w:tcPr>
            <w:tcW w:type="dxa" w:w="2160"/>
          </w:tcPr>
          <w:p>
            <w:r>
              <w:t>Standard corporate email</w:t>
            </w:r>
          </w:p>
        </w:tc>
      </w:tr>
      <w:tr>
        <w:tc>
          <w:tcPr>
            <w:tcW w:type="dxa" w:w="2160"/>
          </w:tcPr>
          <w:p>
            <w:r>
              <w:t>Chat / Messaging (Teams / Slack)</w:t>
            </w:r>
          </w:p>
        </w:tc>
        <w:tc>
          <w:tcPr>
            <w:tcW w:type="dxa" w:w="2160"/>
          </w:tcPr>
          <w:p>
            <w:r>
              <w:t>Real-time team collaboration, informal Q&amp;A, quick status checks</w:t>
            </w:r>
          </w:p>
        </w:tc>
        <w:tc>
          <w:tcPr>
            <w:tcW w:type="dxa" w:w="2160"/>
          </w:tcPr>
          <w:p>
            <w:r>
              <w:t>Program team members</w:t>
            </w:r>
          </w:p>
        </w:tc>
        <w:tc>
          <w:tcPr>
            <w:tcW w:type="dxa" w:w="2160"/>
          </w:tcPr>
          <w:p>
            <w:r>
              <w:t>Channels organized by team; program-wide channel for announcements</w:t>
            </w:r>
          </w:p>
        </w:tc>
      </w:tr>
      <w:tr>
        <w:tc>
          <w:tcPr>
            <w:tcW w:type="dxa" w:w="2160"/>
          </w:tcPr>
          <w:p>
            <w:r>
              <w:t>Video Conferencing</w:t>
            </w:r>
          </w:p>
        </w:tc>
        <w:tc>
          <w:tcPr>
            <w:tcW w:type="dxa" w:w="2160"/>
          </w:tcPr>
          <w:p>
            <w:r>
              <w:t>Standing meetings, demos, town halls, regulatory briefings</w:t>
            </w:r>
          </w:p>
        </w:tc>
        <w:tc>
          <w:tcPr>
            <w:tcW w:type="dxa" w:w="2160"/>
          </w:tcPr>
          <w:p>
            <w:r>
              <w:t>All stakeholder groups</w:t>
            </w:r>
          </w:p>
        </w:tc>
        <w:tc>
          <w:tcPr>
            <w:tcW w:type="dxa" w:w="2160"/>
          </w:tcPr>
          <w:p>
            <w:r>
              <w:t>Standard corporate platform</w:t>
            </w:r>
          </w:p>
        </w:tc>
      </w:tr>
      <w:tr>
        <w:tc>
          <w:tcPr>
            <w:tcW w:type="dxa" w:w="2160"/>
          </w:tcPr>
          <w:p>
            <w:r>
              <w:t>Program Dashboard</w:t>
            </w:r>
          </w:p>
        </w:tc>
        <w:tc>
          <w:tcPr>
            <w:tcW w:type="dxa" w:w="2160"/>
          </w:tcPr>
          <w:p>
            <w:r>
              <w:t>Real-time visual display of program health metrics (RAG, SPI, CPI, risk heat map)</w:t>
            </w:r>
          </w:p>
        </w:tc>
        <w:tc>
          <w:tcPr>
            <w:tcW w:type="dxa" w:w="2160"/>
          </w:tcPr>
          <w:p>
            <w:r>
              <w:t>Executive Steering Board, Program Director, Team Leads</w:t>
            </w:r>
          </w:p>
        </w:tc>
        <w:tc>
          <w:tcPr>
            <w:tcW w:type="dxa" w:w="2160"/>
          </w:tcPr>
          <w:p>
            <w:r>
              <w:t>Read-only; updated weekly by PMO</w:t>
            </w:r>
          </w:p>
        </w:tc>
      </w:tr>
    </w:tbl>
    <w:p/>
    <w:p>
      <w:pPr>
        <w:pStyle w:val="Heading2"/>
      </w:pPr>
      <w:r>
        <w:t>10. Communications Effectiveness Measurement</w:t>
      </w:r>
    </w:p>
    <w:p>
      <w:r>
        <w:t>Communications effectiveness is measured to ensure the plan is achieving its objectives — not just producing artifacts.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Target</w:t>
            </w:r>
          </w:p>
        </w:tc>
        <w:tc>
          <w:tcPr>
            <w:tcW w:type="dxa" w:w="2160"/>
          </w:tcPr>
          <w:p>
            <w:r>
              <w:t>Measurement Method</w:t>
            </w:r>
          </w:p>
        </w:tc>
        <w:tc>
          <w:tcPr>
            <w:tcW w:type="dxa" w:w="2160"/>
          </w:tcPr>
          <w:p>
            <w:r>
              <w:t>Frequency</w:t>
            </w:r>
          </w:p>
        </w:tc>
      </w:tr>
      <w:tr>
        <w:tc>
          <w:tcPr>
            <w:tcW w:type="dxa" w:w="2160"/>
          </w:tcPr>
          <w:p>
            <w:r>
              <w:t>Stakeholder satisfaction with program communications</w:t>
            </w:r>
          </w:p>
        </w:tc>
        <w:tc>
          <w:tcPr>
            <w:tcW w:type="dxa" w:w="2160"/>
          </w:tcPr>
          <w:p>
            <w:r>
              <w:t>≥ 4.0 / 5.0</w:t>
            </w:r>
          </w:p>
        </w:tc>
        <w:tc>
          <w:tcPr>
            <w:tcW w:type="dxa" w:w="2160"/>
          </w:tcPr>
          <w:p>
            <w:r>
              <w:t>Quarterly pulse survey (team leads + executives)</w:t>
            </w:r>
          </w:p>
        </w:tc>
        <w:tc>
          <w:tcPr>
            <w:tcW w:type="dxa" w:w="2160"/>
          </w:tcPr>
          <w:p>
            <w:r>
              <w:t>Quarterly</w:t>
            </w:r>
          </w:p>
        </w:tc>
      </w:tr>
      <w:tr>
        <w:tc>
          <w:tcPr>
            <w:tcW w:type="dxa" w:w="2160"/>
          </w:tcPr>
          <w:p>
            <w:r>
              <w:t>Executive surprise rate</w:t>
            </w:r>
          </w:p>
        </w:tc>
        <w:tc>
          <w:tcPr>
            <w:tcW w:type="dxa" w:w="2160"/>
          </w:tcPr>
          <w:p>
            <w:r>
              <w:t>Zero "first-time-at-gate" surprises</w:t>
            </w:r>
          </w:p>
        </w:tc>
        <w:tc>
          <w:tcPr>
            <w:tcW w:type="dxa" w:w="2160"/>
          </w:tcPr>
          <w:p>
            <w:r>
              <w:t>Post-gate survey: "Were there any items in this gate package you were not previously aware of?"</w:t>
            </w:r>
          </w:p>
        </w:tc>
        <w:tc>
          <w:tcPr>
            <w:tcW w:type="dxa" w:w="2160"/>
          </w:tcPr>
          <w:p>
            <w:r>
              <w:t>At each phase gate</w:t>
            </w:r>
          </w:p>
        </w:tc>
      </w:tr>
      <w:tr>
        <w:tc>
          <w:tcPr>
            <w:tcW w:type="dxa" w:w="2160"/>
          </w:tcPr>
          <w:p>
            <w:r>
              <w:t>Newsletter open rate</w:t>
            </w:r>
          </w:p>
        </w:tc>
        <w:tc>
          <w:tcPr>
            <w:tcW w:type="dxa" w:w="2160"/>
          </w:tcPr>
          <w:p>
            <w:r>
              <w:t>≥ 60%</w:t>
            </w:r>
          </w:p>
        </w:tc>
        <w:tc>
          <w:tcPr>
            <w:tcW w:type="dxa" w:w="2160"/>
          </w:tcPr>
          <w:p>
            <w:r>
              <w:t>Email analytics</w:t>
            </w:r>
          </w:p>
        </w:tc>
        <w:tc>
          <w:tcPr>
            <w:tcW w:type="dxa" w:w="2160"/>
          </w:tcPr>
          <w:p>
            <w:r>
              <w:t>Monthly</w:t>
            </w:r>
          </w:p>
        </w:tc>
      </w:tr>
      <w:tr>
        <w:tc>
          <w:tcPr>
            <w:tcW w:type="dxa" w:w="2160"/>
          </w:tcPr>
          <w:p>
            <w:r>
              <w:t>Mandatory escalation compliance</w:t>
            </w:r>
          </w:p>
        </w:tc>
        <w:tc>
          <w:tcPr>
            <w:tcW w:type="dxa" w:w="2160"/>
          </w:tcPr>
          <w:p>
            <w:r>
              <w:t>100% within defined time windows</w:t>
            </w:r>
          </w:p>
        </w:tc>
        <w:tc>
          <w:tcPr>
            <w:tcW w:type="dxa" w:w="2160"/>
          </w:tcPr>
          <w:p>
            <w:r>
              <w:t>Escalation log audit (PMO)</w:t>
            </w:r>
          </w:p>
        </w:tc>
        <w:tc>
          <w:tcPr>
            <w:tcW w:type="dxa" w:w="2160"/>
          </w:tcPr>
          <w:p>
            <w:r>
              <w:t>Quarterly</w:t>
            </w:r>
          </w:p>
        </w:tc>
      </w:tr>
      <w:tr>
        <w:tc>
          <w:tcPr>
            <w:tcW w:type="dxa" w:w="2160"/>
          </w:tcPr>
          <w:p>
            <w:r>
              <w:t>Change management awareness (frontline)</w:t>
            </w:r>
          </w:p>
        </w:tc>
        <w:tc>
          <w:tcPr>
            <w:tcW w:type="dxa" w:w="2160"/>
          </w:tcPr>
          <w:p>
            <w:r>
              <w:t>≥ 80% of affected staff can describe the upcoming AI capability and its impact on their role</w:t>
            </w:r>
          </w:p>
        </w:tc>
        <w:tc>
          <w:tcPr>
            <w:tcW w:type="dxa" w:w="2160"/>
          </w:tcPr>
          <w:p>
            <w:r>
              <w:t>Pre-training survey (3 months before go-live)</w:t>
            </w:r>
          </w:p>
        </w:tc>
        <w:tc>
          <w:tcPr>
            <w:tcW w:type="dxa" w:w="2160"/>
          </w:tcPr>
          <w:p>
            <w:r>
              <w:t>Per BRD launch cycle</w:t>
            </w:r>
          </w:p>
        </w:tc>
      </w:tr>
      <w:tr>
        <w:tc>
          <w:tcPr>
            <w:tcW w:type="dxa" w:w="2160"/>
          </w:tcPr>
          <w:p>
            <w:r>
              <w:t>RAIDD Log staleness</w:t>
            </w:r>
          </w:p>
        </w:tc>
        <w:tc>
          <w:tcPr>
            <w:tcW w:type="dxa" w:w="2160"/>
          </w:tcPr>
          <w:p>
            <w:r>
              <w:t>100% of entries updated within 14 days</w:t>
            </w:r>
          </w:p>
        </w:tc>
        <w:tc>
          <w:tcPr>
            <w:tcW w:type="dxa" w:w="2160"/>
          </w:tcPr>
          <w:p>
            <w:r>
              <w:t>Automated flag in project portal</w:t>
            </w:r>
          </w:p>
        </w:tc>
        <w:tc>
          <w:tcPr>
            <w:tcW w:type="dxa" w:w="2160"/>
          </w:tcPr>
          <w:p>
            <w:r>
              <w:t>Weekly</w:t>
            </w:r>
          </w:p>
        </w:tc>
      </w:tr>
    </w:tbl>
    <w:p/>
    <w:p>
      <w:pPr>
        <w:pStyle w:val="Heading2"/>
      </w:pPr>
      <w:r>
        <w:t>11. Communications Governance &amp; Document Control</w:t>
      </w:r>
    </w:p>
    <w:p>
      <w:pPr>
        <w:pStyle w:val="ListBullet"/>
      </w:pPr>
      <w:r>
        <w:t>Plan owner:B. Sullivan (VP Corporate Communications) — responsible for plan maintenance, newsletter production, and crisis communications coordination.</w:t>
      </w:r>
    </w:p>
    <w:p>
      <w:pPr>
        <w:pStyle w:val="ListBullet"/>
      </w:pPr>
      <w:r>
        <w:t>Content source:C. Tyrrell (Program Director) — responsible for program status content, governance reporting, and technical communications content.</w:t>
      </w:r>
    </w:p>
    <w:p>
      <w:pPr>
        <w:pStyle w:val="ListBullet"/>
      </w:pPr>
      <w:r>
        <w:t>Change management communications:G. Okonkwo (Change Lead) — responsible for adoption messaging, training communications, and resistance response.</w:t>
      </w:r>
    </w:p>
    <w:p>
      <w:pPr>
        <w:pStyle w:val="ListBullet"/>
      </w:pPr>
      <w:r>
        <w:t>Regulatory communications:R. Thorne (General Counsel) — sole authorized communicator with state regulators, CMS, and NAIC. No other program team member communicates with regulators without General Counsel approval.</w:t>
      </w:r>
    </w:p>
    <w:p>
      <w:pPr>
        <w:pStyle w:val="ListBullet"/>
      </w:pPr>
      <w:r>
        <w:t>Plan updates:This plan is reviewed quarterly and updated as needed. Material changes (adding or removing communication streams, changing escalation time windows, modifying crisis protocol) require Executive Steering Board notification. Minor clarifications can be made by the Plan owner with Program Director approval.</w:t>
      </w:r>
    </w:p>
    <w:tbl>
      <w:tblPr>
        <w:tblStyle w:val="TableGrid"/>
        <w:tblW w:type="auto" w:w="0"/>
        <w:tblLook w:firstColumn="1" w:firstRow="1" w:lastColumn="0" w:lastRow="0" w:noHBand="0" w:noVBand="1" w:val="04A0"/>
      </w:tblPr>
      <w:tblGrid>
        <w:gridCol w:w="4320"/>
        <w:gridCol w:w="4320"/>
      </w:tblGrid>
      <w:tr>
        <w:tc>
          <w:tcPr>
            <w:tcW w:type="dxa" w:w="4320"/>
          </w:tcPr>
          <w:p>
            <w:r>
              <w:t>Field</w:t>
            </w:r>
          </w:p>
        </w:tc>
        <w:tc>
          <w:tcPr>
            <w:tcW w:type="dxa" w:w="4320"/>
          </w:tcPr>
          <w:p>
            <w:r>
              <w:t>Value</w:t>
            </w:r>
          </w:p>
        </w:tc>
      </w:tr>
      <w:tr>
        <w:tc>
          <w:tcPr>
            <w:tcW w:type="dxa" w:w="4320"/>
          </w:tcPr>
          <w:p>
            <w:r>
              <w:t>Document Title</w:t>
            </w:r>
          </w:p>
        </w:tc>
        <w:tc>
          <w:tcPr>
            <w:tcW w:type="dxa" w:w="4320"/>
          </w:tcPr>
          <w:p>
            <w:r>
              <w:t>Communications Plan — Project Catalyst</w:t>
            </w:r>
          </w:p>
        </w:tc>
      </w:tr>
      <w:tr>
        <w:tc>
          <w:tcPr>
            <w:tcW w:type="dxa" w:w="4320"/>
          </w:tcPr>
          <w:p>
            <w:r>
              <w:t>Version</w:t>
            </w:r>
          </w:p>
        </w:tc>
        <w:tc>
          <w:tcPr>
            <w:tcW w:type="dxa" w:w="4320"/>
          </w:tcPr>
          <w:p>
            <w:r>
              <w:t>1.0</w:t>
            </w:r>
          </w:p>
        </w:tc>
      </w:tr>
      <w:tr>
        <w:tc>
          <w:tcPr>
            <w:tcW w:type="dxa" w:w="4320"/>
          </w:tcPr>
          <w:p>
            <w:r>
              <w:t>Date</w:t>
            </w:r>
          </w:p>
        </w:tc>
        <w:tc>
          <w:tcPr>
            <w:tcW w:type="dxa" w:w="4320"/>
          </w:tcPr>
          <w:p>
            <w:r>
              <w:t>17 August 2026</w:t>
            </w:r>
          </w:p>
        </w:tc>
      </w:tr>
      <w:tr>
        <w:tc>
          <w:tcPr>
            <w:tcW w:type="dxa" w:w="4320"/>
          </w:tcPr>
          <w:p>
            <w:r>
              <w:t>Owner</w:t>
            </w:r>
          </w:p>
        </w:tc>
        <w:tc>
          <w:tcPr>
            <w:tcW w:type="dxa" w:w="4320"/>
          </w:tcPr>
          <w:p>
            <w:r>
              <w:t>B. Sullivan (VP Corporate Communications)</w:t>
            </w:r>
          </w:p>
        </w:tc>
      </w:tr>
      <w:tr>
        <w:tc>
          <w:tcPr>
            <w:tcW w:type="dxa" w:w="4320"/>
          </w:tcPr>
          <w:p>
            <w:r>
              <w:t>Approved By</w:t>
            </w:r>
          </w:p>
        </w:tc>
        <w:tc>
          <w:tcPr>
            <w:tcW w:type="dxa" w:w="4320"/>
          </w:tcPr>
          <w:p>
            <w:r>
              <w:t>C. Tyrrell (Program Director), M. Kavanagh (Executive Sponsor)</w:t>
            </w:r>
          </w:p>
        </w:tc>
      </w:tr>
    </w:tbl>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