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b/>
          <w:color w:val="1B3A6B"/>
          <w:sz w:val="40"/>
        </w:rPr>
        <w:t>GLOSSARY &amp; ACRONYMS</w:t>
      </w:r>
    </w:p>
    <w:p>
      <w:pPr>
        <w:spacing w:before="0" w:after="40"/>
      </w:pPr>
      <w:r>
        <w:rPr>
          <w:b w:val="0"/>
          <w:color w:val="2B5C8A"/>
          <w:sz w:val="22"/>
        </w:rPr>
        <w:t>Reference — Project Catalyst, AI Transformation Program</w:t>
      </w:r>
    </w:p>
    <w:p>
      <w:pPr>
        <w:spacing w:before="0" w:after="200"/>
      </w:pPr>
      <w:r>
        <w:rPr>
          <w:b w:val="0"/>
          <w:color w:val="5B6472"/>
          <w:sz w:val="19"/>
        </w:rPr>
        <w:t>ACME Highland Health  |  Pulaski Advisory Group  |  $99M · 262 people · 36.5 months</w:t>
      </w:r>
    </w:p>
    <w:p>
      <w:r>
        <w:rPr>
          <w:i/>
          <w:color w:val="5B6472"/>
        </w:rPr>
        <w:t xml:space="preserve">A working reference for the terminology used across </w:t>
      </w:r>
      <w:r>
        <w:rPr>
          <w:b/>
          <w:i/>
          <w:color w:val="5B6472"/>
        </w:rPr>
        <w:t>Project Catalyst</w:t>
      </w:r>
      <w:r>
        <w:rPr>
          <w:i/>
          <w:color w:val="5B6472"/>
        </w:rPr>
        <w:t xml:space="preserve"> — spanning program governance, AI/ML and MLOps engineering, healthcare and regulatory context, delivery method, and program finance. Terms are grouped by domain; use the search box to filter across every category at once.</w:t>
      </w:r>
    </w:p>
    <w:p>
      <w:pPr>
        <w:pStyle w:val="Heading2"/>
      </w:pPr>
      <w:r>
        <w:rPr>
          <w:color w:val="1B3A6B"/>
        </w:rPr>
        <w:t>Program &amp; Governance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AI Governance Board</w:t>
            </w:r>
            <w:r>
              <w:rPr>
                <w:sz w:val="18"/>
              </w:rPr>
              <w:t>AIGB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One of the program's three standing governance bodies; owns model-risk and responsible-AI decisions, approves models for pilot and production, and signs phase gates on AI-specific criteria.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Center of Excellence</w:t>
            </w:r>
            <w:r>
              <w:rPr>
                <w:sz w:val="18"/>
              </w:rPr>
              <w:t>CoE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Hub-and-spoke operating model that centralizes AI standards, reusable assets, and governance while embedding practitioners in delivery teams. The AI CoE is a cross-cutting workstream that transitions to ACME steady-state operations in Year 3.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Enterprise Architecture Review Board</w:t>
            </w:r>
            <w:r>
              <w:rPr>
                <w:sz w:val="18"/>
              </w:rPr>
              <w:t>EARB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Standing board that reviews technical architecture, security, and integration; owns the Platform Foundation gate and any architecture-affecting change.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Executive Steering Board</w:t>
            </w:r>
            <w:r>
              <w:rPr>
                <w:sz w:val="18"/>
              </w:rPr>
              <w:t>ESB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Top governance body for business, budget, and risk decisions; authorizes the cost baseline, releases contingency, and approves re-baselining.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Joint Application Design</w:t>
            </w:r>
            <w:r>
              <w:rPr>
                <w:sz w:val="18"/>
              </w:rPr>
              <w:t>JAD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Facilitated requirements workshop series run per BRD in Phases 0–1, with mandatory Legal, Compliance, Enterprise Architecture, Cybersecurity, and business-SME participation.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Phase Gate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 formal go/no-go decision point between phases requiring sign-off from the three boards against defined exit criteria before the next phase is funded to proceed.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Two Lines of Defense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Model-risk control structure separating the first line (AI Governance &amp; CoE, who build and self-assess) from an independent second line (Independent Model Validation) that must clear models before production.</w:t>
            </w:r>
          </w:p>
        </w:tc>
      </w:tr>
    </w:tbl>
    <w:p/>
    <w:p>
      <w:pPr>
        <w:pStyle w:val="Heading2"/>
      </w:pPr>
      <w:r>
        <w:rPr>
          <w:color w:val="1B3A6B"/>
        </w:rPr>
        <w:t>AI / ML &amp; MLOps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Agent-Assist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An AI capability that supports a human worker in real time (e.g., suggesting responses to a service agent) rather than acting autonomously — a core pattern in BRD-02.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Drift </w:t>
            </w:r>
            <w:r>
              <w:rPr>
                <w:sz w:val="18"/>
              </w:rPr>
              <w:t>(data / concept)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Degradation of model performance over time as live data diverges from training data (data drift) or as the underlying relationship changes (concept drift); monitored continuously in the MLOps pipeline.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Fairness / Bias Testing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Evaluation of a model's outputs across protected and sensitive groups to detect disparate impact; a gating requirement before any underwriting or claims model reaches production.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Ground Truth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verified correct outcome used to train and evaluate a model; for claims and prior-auth AI, established from adjudicated historical decisions.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Hallucination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 confident but false or fabricated output from a generative model; mitigated in member-facing tools through retrieval grounding, confidence thresholds, and human-in-the-loop review.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Human-in-the-Loop</w:t>
            </w:r>
            <w:r>
              <w:rPr>
                <w:sz w:val="18"/>
              </w:rPr>
              <w:t>HITL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 control design that keeps a qualified person in the decision path for high-stakes or low-confidence AI outputs, rather than allowing fully autonomous action.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Independent Model Validation</w:t>
            </w:r>
            <w:r>
              <w:rPr>
                <w:sz w:val="18"/>
              </w:rPr>
              <w:t>IMV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program's second line of defense: a team separate from delivery that independently validates model performance, fairness, and documentation before production. Operates on a 5–10 business-day review queue.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Large Language Model</w:t>
            </w:r>
            <w:r>
              <w:rPr>
                <w:sz w:val="18"/>
              </w:rPr>
              <w:t>LLM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 generative model trained on large text corpora, used in the program for member/provider conversational assistance and agent-assist, always within governed guardrails.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MLOps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engineering discipline and toolchain for building, deploying, monitoring, and retraining models reliably in production — including versioning, CI/CD for models, drift monitoring, and rollback.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Model Card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Standardized documentation of a model's purpose, data, performance, limitations, and validation status; required governance artifact for every production model.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Retrieval-Augmented Generation</w:t>
            </w:r>
            <w:r>
              <w:rPr>
                <w:sz w:val="18"/>
              </w:rPr>
              <w:t>RAG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 pattern that grounds an LLM's responses in retrieved, authoritative source content to reduce hallucination and keep answers traceable to policy.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Shadow Mode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Running a model against live inputs without acting on its outputs, to measure real-world performance safely before go-live — used for the underwriting risk model in BRD-03.</w:t>
            </w:r>
          </w:p>
        </w:tc>
      </w:tr>
    </w:tbl>
    <w:p/>
    <w:p>
      <w:pPr>
        <w:pStyle w:val="Heading2"/>
      </w:pPr>
      <w:r>
        <w:rPr>
          <w:color w:val="1B3A6B"/>
        </w:rPr>
        <w:t>Healthcare &amp; Regulatory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CMS-0057-F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CMS Interoperability and Prior Authorization final rule; its January 2027 requirements are a genuine regulatory driver for the program's context. ACME's baseline compliance is handled by a separate project and is explicitly out of Project Catalyst's scope.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ISO/IEC 42001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international management-system standard for artificial intelligence; one of the program's two primary governance anchors, providing the AI management-system frame.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Moffatt v. Air Canada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 2024 decision holding an airline liable for its chatbot's incorrect statement; cited in the program as precedent for member-facing conversational AI liability and the basis for human-in-the-loop and disclaimer controls.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NAIC Model AI Bulletin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National Association of Insurance Commissioners' model bulletin on the use of AI by insurers; informs the program's governance of underwriting and risk models.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NIST AI Risk Management Framework</w:t>
            </w:r>
            <w:r>
              <w:rPr>
                <w:sz w:val="18"/>
              </w:rPr>
              <w:t>AI RMF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U.S. National Institute of Standards and Technology framework for managing AI risk (Govern, Map, Measure, Manage); the program's second primary governance anchor.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Prior Authorization</w:t>
            </w:r>
            <w:r>
              <w:rPr>
                <w:sz w:val="18"/>
              </w:rPr>
              <w:t>PA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health-plan process of approving a service or medication before it is delivered; the flagship BRD-01 applies AI to accelerate and improve consistency of prior-auth decisions under clinical oversight.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Protected Health Information</w:t>
            </w:r>
            <w:r>
              <w:rPr>
                <w:sz w:val="18"/>
              </w:rPr>
              <w:t>PHI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Individually identifiable health information governed under HIPAA; its handling drives onshore-only staffing for claims-decision roles and the Data Privacy Office's controls.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Utilization Management</w:t>
            </w:r>
            <w:r>
              <w:rPr>
                <w:sz w:val="18"/>
              </w:rPr>
              <w:t>UM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clinical review function that evaluates medical necessity and appropriateness of care; the business owner and subject-matter source for prior-authorization AI.</w:t>
            </w:r>
          </w:p>
        </w:tc>
      </w:tr>
    </w:tbl>
    <w:p/>
    <w:p>
      <w:pPr>
        <w:pStyle w:val="Heading2"/>
      </w:pPr>
      <w:r>
        <w:rPr>
          <w:color w:val="1B3A6B"/>
        </w:rPr>
        <w:t>Delivery &amp; PM Method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Business Requirements Document</w:t>
            </w:r>
            <w:r>
              <w:rPr>
                <w:sz w:val="18"/>
              </w:rPr>
              <w:t>BRD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signed requirements baseline for a delivery leg; the program has three (BRD-01 Claims &amp; Prior Auth, BRD-02 Member/Provider UX, BRD-03 Underwriting &amp; Risk).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Definition of Done / Ready</w:t>
            </w:r>
            <w:r>
              <w:rPr>
                <w:sz w:val="18"/>
              </w:rPr>
              <w:t>DoD / DoR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Agreed quality checklists that a backlog item must meet to enter a sprint (Ready) or be accepted as complete (Done), including governance and validation criteria for AI work.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Earned Value Management</w:t>
            </w:r>
            <w:r>
              <w:rPr>
                <w:sz w:val="18"/>
              </w:rPr>
              <w:t>EVM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 cost/schedule control method comparing planned value, earned value, and actual cost to derive SPI and CPI; the program reports EVM to the ESB monthly.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Hybrid Delivery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The program's three-layer method: phase-gated governance over agile sprint execution over a governed MLOps lifecycle — detailed in the </w:t>
            </w:r>
            <w:r>
              <w:rPr>
                <w:color w:val="2B5C8A"/>
                <w:sz w:val="18"/>
              </w:rPr>
              <w:t>Methodology Guide</w:t>
            </w:r>
            <w:r>
              <w:rPr>
                <w:sz w:val="18"/>
              </w:rPr>
              <w:t>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RAIDD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consolidated register of Risks, Assumptions, Issues, Dependencies, and Decisions used to manage program uncertainty.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RACI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 responsibility-assignment matrix mapping who is Responsible, Accountable, Consulted, and Informed for each activity or decision.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Cost / Schedule Performance Index</w:t>
            </w:r>
            <w:r>
              <w:rPr>
                <w:sz w:val="18"/>
              </w:rPr>
              <w:t>CPI / SPI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EVM efficiency ratios; a value of 1.00 means on-baseline, below 1.00 means over cost or behind schedule.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Work Breakdown Structure</w:t>
            </w:r>
            <w:r>
              <w:rPr>
                <w:sz w:val="18"/>
              </w:rPr>
              <w:t>WBS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The hierarchical decomposition of program scope into elements, groups, and work packages; the backbone to which every dollar and deliverable traces. See the </w:t>
            </w:r>
            <w:r>
              <w:rPr>
                <w:color w:val="2B5C8A"/>
                <w:sz w:val="18"/>
              </w:rPr>
              <w:t>WBS Console</w:t>
            </w:r>
            <w:r>
              <w:rPr>
                <w:sz w:val="18"/>
              </w:rPr>
              <w:t>.</w:t>
            </w:r>
          </w:p>
        </w:tc>
      </w:tr>
    </w:tbl>
    <w:p/>
    <w:p>
      <w:pPr>
        <w:pStyle w:val="Heading2"/>
      </w:pPr>
      <w:r>
        <w:rPr>
          <w:color w:val="1B3A6B"/>
        </w:rPr>
        <w:t>Financial &amp; Commercial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Contingency Reserve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 management reserve (here $9.0M, 9.1% of budget) held outside workstream allocations and released only by ESB approval against a realized risk.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Cost-Benefit Analysis</w:t>
            </w:r>
            <w:r>
              <w:rPr>
                <w:sz w:val="18"/>
              </w:rPr>
              <w:t>CBA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The financial case comparing program cost to expected benefits; the program's CBA shows a positive NPV (+$2.97M) and simple payback of ~7.6 years. See the </w:t>
            </w:r>
            <w:r>
              <w:rPr>
                <w:color w:val="2B5C8A"/>
                <w:sz w:val="18"/>
              </w:rPr>
              <w:t>CBA</w:t>
            </w:r>
            <w:r>
              <w:rPr>
                <w:sz w:val="18"/>
              </w:rPr>
              <w:t>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FinOps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practice of managing and optimizing cloud and AI compute spend; guardrails and budget alerting are a specific control against GenAI token/compute cost overrun.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Net Present Value</w:t>
            </w:r>
            <w:r>
              <w:rPr>
                <w:sz w:val="18"/>
              </w:rPr>
              <w:t>NPV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discounted value of future benefits net of costs; used to justify the program's investment.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Statement of Work</w:t>
            </w:r>
            <w:r>
              <w:rPr>
                <w:sz w:val="18"/>
              </w:rPr>
              <w:t>SOW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contract defining scope, deliverables, and payment for each program year; three envelopes total $99.0M ($27.72M / $41.58M / $29.70M).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Total Cost of Ownership</w:t>
            </w:r>
            <w:r>
              <w:rPr>
                <w:sz w:val="18"/>
              </w:rPr>
              <w:t>TCO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The full 10-year cost of a solution including run and maintenance; the program's TCO model compares build vs. status-quo options. See the </w:t>
            </w:r>
            <w:r>
              <w:rPr>
                <w:color w:val="2B5C8A"/>
                <w:sz w:val="18"/>
              </w:rPr>
              <w:t>TCO</w:t>
            </w:r>
            <w:r>
              <w:rPr>
                <w:sz w:val="18"/>
              </w:rPr>
              <w:t>.</w:t>
            </w:r>
          </w:p>
        </w:tc>
      </w:tr>
    </w:tbl>
    <w:p/>
    <w:p>
      <w:pPr>
        <w:pStyle w:val="Heading2"/>
      </w:pPr>
      <w:r>
        <w:rPr>
          <w:color w:val="1B3A6B"/>
        </w:rPr>
        <w:t>Acronym Quick-Reference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Acronym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Expansion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AI RMF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(NIST) Artificial Intelligence Risk Management Framework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AIGB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AI Governance Board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BRD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Business Requirements Document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CBA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Cost-Benefit Analysis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CMS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Centers for Medicare &amp; Medicaid Services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CoE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Center of Excellence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CPI / SPI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Cost / Schedule Performance Index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DoD / DoR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Definition of Done / Definition of Ready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EARB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Enterprise Architecture Review Board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ESB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Executive Steering Board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EVM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Earned Value Management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HITL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Human-in-the-Loop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IMV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Independent Model Validation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JAD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Joint Application Design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LLM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Large Language Model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MLOps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Machine Learning Operations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NPV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Net Present Value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PA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Prior Authorization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PHI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Protected Health Information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RAG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Retrieval-Augmented Generation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RAIDD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Risks, Assumptions, Issues, Dependencies, Decisions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SOW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Statement of Work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TCO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Total Cost of Ownership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UM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Utilization Management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WBS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Work Breakdown Structure</w:t>
            </w:r>
          </w:p>
        </w:tc>
      </w:tr>
    </w:tbl>
    <w:p/>
    <w:p>
      <w:pPr>
        <w:spacing w:before="280"/>
      </w:pPr>
      <w:r>
        <w:rPr>
          <w:i/>
          <w:color w:val="5B6472"/>
          <w:sz w:val="16"/>
        </w:rPr>
        <w:t>Illustrative reference for a fictional engagement (ACME Highland Health / Pulaski Advisory Group), created to demonstrate program-management practice. Cross-references: Methodology Guide · Governance Model · WBS Console.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