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B3A6B"/>
          <w:sz w:val="40"/>
        </w:rPr>
        <w:t>LESSONS LEARNED REGISTER</w:t>
      </w:r>
    </w:p>
    <w:p>
      <w:pPr>
        <w:spacing w:before="0" w:after="40"/>
      </w:pPr>
      <w:r>
        <w:rPr>
          <w:b w:val="0"/>
          <w:color w:val="2B5C8A"/>
          <w:sz w:val="22"/>
        </w:rPr>
        <w:t>Program Controls · Lessons Learned — Project Catalyst, AI Transformation Program</w:t>
      </w:r>
    </w:p>
    <w:p>
      <w:pPr>
        <w:spacing w:before="0" w:after="200"/>
      </w:pPr>
      <w:r>
        <w:rPr>
          <w:b w:val="0"/>
          <w:color w:val="5B6472"/>
          <w:sz w:val="19"/>
        </w:rPr>
        <w:t>ACME Highland Health  |  Pulaski Advisory Group  |  $99M · 262 people · 36.5 months</w:t>
      </w:r>
    </w:p>
    <w:p>
      <w:r>
        <w:rPr>
          <w:i/>
          <w:color w:val="5B6472"/>
        </w:rPr>
        <w:t xml:space="preserve">Fifteen lessons captured across the life of </w:t>
      </w:r>
      <w:r>
        <w:rPr>
          <w:b/>
          <w:i/>
          <w:color w:val="5B6472"/>
        </w:rPr>
        <w:t>Project Catalyst</w:t>
      </w:r>
      <w:r>
        <w:rPr>
          <w:i/>
          <w:color w:val="5B6472"/>
        </w:rPr>
        <w:t xml:space="preserve"> and consolidated at closeout. Many trace directly to risks anticipated at program start — several of which materialized and were managed — providing a clear line from the original </w:t>
      </w:r>
      <w:r>
        <w:rPr>
          <w:i/>
          <w:color w:val="2B5C8A"/>
        </w:rPr>
        <w:t>RAIDD register</w:t>
      </w:r>
      <w:r>
        <w:rPr>
          <w:i/>
          <w:color w:val="5B6472"/>
        </w:rPr>
        <w:t xml:space="preserve"> to realized experience. Each lesson records what happened, its impact, and a recommendation for future AI programs. This register transfers to ACME's AI Center of Excellence as reusable organizational knowledge.</w:t>
      </w:r>
    </w:p>
    <w:p>
      <w:pPr>
        <w:pStyle w:val="Heading2"/>
      </w:pPr>
      <w:r>
        <w:rPr>
          <w:color w:val="1B3A6B"/>
        </w:rPr>
        <w:t>Governance &amp; Risk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Lesson — What Happened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Impact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Recommendation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LL-01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two-line-of-defense model-risk structure (delivery as first line, Independent Model Validation as an independent second line) held throughout.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Cited by the AI Governance Board as the program's key control; no model reached production without independent sign-off.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make independent model validation a standing structure, not a project role.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LL-02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Independent validation flagged a fairness/bias issue in the underwriting model before production </w:t>
            </w:r>
            <w:r>
              <w:rPr>
                <w:sz w:val="18"/>
              </w:rPr>
              <w:t>(RSK-06 realized)</w:t>
            </w:r>
            <w:r>
              <w:rPr>
                <w:sz w:val="18"/>
              </w:rPr>
              <w:t>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Forced a retraining cycle and short delay; avoided a far costlier post-production fairness problem.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budget retraining cycles as contingency; treat validation queue time as investment.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LL-03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Phase gates requiring sign-off from all three boards occasionally slowed decisions.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Some decision latency early on, but prevented downstream rework and scope drift.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IMPROVE — pre-brief boards and batch decisions to reduce gate latency without weakening control.</w:t>
            </w:r>
          </w:p>
        </w:tc>
      </w:tr>
    </w:tbl>
    <w:p/>
    <w:p>
      <w:pPr>
        <w:pStyle w:val="Heading2"/>
      </w:pPr>
      <w:r>
        <w:rPr>
          <w:color w:val="1B3A6B"/>
        </w:rPr>
        <w:t>AI / ML Delivery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Lesson — What Happened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Impact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Recommendation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LL-04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Human-in-the-loop, disclaimer, and confidence-threshold controls were designed into member-facing AI from the outset, informed by the Air Canada precedent </w:t>
            </w:r>
            <w:r>
              <w:rPr>
                <w:sz w:val="18"/>
              </w:rPr>
              <w:t>(RSK-03 mitigated)</w:t>
            </w:r>
            <w:r>
              <w:rPr>
                <w:sz w:val="18"/>
              </w:rPr>
              <w:t>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No hallucination/liability incident occurred across the program's member-facing deployments.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design HITL and disclaimer controls in at requirements, never retrofit.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LL-05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underwriting risk model ran in shadow mode against live inputs before acting on any output.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Real-world performance was proven safely, de-risking the BRD-03 go-live.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mandate shadow-mode for any consequential decisioning model.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LL-06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Model cards and MLOps monitoring (drift, performance, retraining triggers) were standardized early.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Enabled a clean steady-state handover to ACME; models are maintainable without the delivery team.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require a model card and monitoring plan as a Definition-of-Done gate.</w:t>
            </w:r>
          </w:p>
        </w:tc>
      </w:tr>
    </w:tbl>
    <w:p/>
    <w:p>
      <w:pPr>
        <w:pStyle w:val="Heading2"/>
      </w:pPr>
      <w:r>
        <w:rPr>
          <w:color w:val="1B3A6B"/>
        </w:rPr>
        <w:t>Data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Lesson — What Happened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Impact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Recommendation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LL-07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Legacy claims-data fragmentation was the program's single largest realized risk </w:t>
            </w:r>
            <w:r>
              <w:rPr>
                <w:sz w:val="18"/>
              </w:rPr>
              <w:t>(RSK-01 realized)</w:t>
            </w:r>
            <w:r>
              <w:rPr>
                <w:sz w:val="18"/>
              </w:rPr>
              <w:t>; early Phase-0 profiling surfaced it before Build.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funded remediation effort (drawn from contingency) protected the BRD-01 timeline; had it surfaced later, the slip would have been severe.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front-load data profiling in Phase 0 as a default on any AI program.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LL-08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A privacy audit found an offshore data-access gap </w:t>
            </w:r>
            <w:r>
              <w:rPr>
                <w:sz w:val="18"/>
              </w:rPr>
              <w:t>(RSK-08 realized)</w:t>
            </w:r>
            <w:r>
              <w:rPr>
                <w:sz w:val="18"/>
              </w:rPr>
              <w:t>; onshore-only staffing for PHI claims-decision roles proved correct.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Offshore work was briefly paused and re-scoped; no PHI exposure occurred.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set data-residency and access boundaries by role before offshore mobilization.</w:t>
            </w:r>
          </w:p>
        </w:tc>
      </w:tr>
    </w:tbl>
    <w:p/>
    <w:p>
      <w:pPr>
        <w:pStyle w:val="Heading2"/>
      </w:pPr>
      <w:r>
        <w:rPr>
          <w:color w:val="1B3A6B"/>
        </w:rPr>
        <w:t>Financial &amp; Commercial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Lesson — What Happened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Impact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Recommendation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LL-09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GenAI compute/token spend proved highly variable and pressured the platform budget </w:t>
            </w:r>
            <w:r>
              <w:rPr>
                <w:sz w:val="18"/>
              </w:rPr>
              <w:t>(RSK-02 realized)</w:t>
            </w:r>
            <w:r>
              <w:rPr>
                <w:sz w:val="18"/>
              </w:rPr>
              <w:t>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mid-program FinOps adjustment (within contingency) was required; cost telemetry added before scale-up prevented overrun.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IMPROVE — treat AI compute as a variable cost with telemetry and alerting from day one, not a fixed line.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LL-10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9.1% contingency reserve absorbed two formal re-baselining events without increasing the authorized budget.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Program closed $0.6M under budget; contingency sizing was adequate.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size contingency to realized-risk scenarios, and gate its release at the steering board.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LL-11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A platform/SaaS vendor slipped a commitment mid-program </w:t>
            </w:r>
            <w:r>
              <w:rPr>
                <w:sz w:val="18"/>
              </w:rPr>
              <w:t>(RSK-05 realized)</w:t>
            </w:r>
            <w:r>
              <w:rPr>
                <w:sz w:val="18"/>
              </w:rPr>
              <w:t>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Required schedule rework and a contract renegotiation; recovered without an envelope breach.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IMPROVE — build milestone-linked flexibility and remedies into AI vendor contracts up front.</w:t>
            </w:r>
          </w:p>
        </w:tc>
      </w:tr>
    </w:tbl>
    <w:p/>
    <w:p>
      <w:pPr>
        <w:pStyle w:val="Heading2"/>
      </w:pPr>
      <w:r>
        <w:rPr>
          <w:color w:val="1B3A6B"/>
        </w:rPr>
        <w:t>Change &amp; Adoption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Lesson — What Happened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Impact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Recommendation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LL-12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Frontline adoption resistance appeared as capabilities rolled out </w:t>
            </w:r>
            <w:r>
              <w:rPr>
                <w:sz w:val="18"/>
              </w:rPr>
              <w:t>(RSK-07 realized)</w:t>
            </w:r>
            <w:r>
              <w:rPr>
                <w:sz w:val="18"/>
              </w:rPr>
              <w:t>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phased, opt-in rollout with added change-management investment achieved adoption without mandate.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phase adoption and co-design with frontline users; avoid big-bang cutovers for AI.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LL-13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An executive sponsor transition occurred mid-program </w:t>
            </w:r>
            <w:r>
              <w:rPr>
                <w:sz w:val="18"/>
              </w:rPr>
              <w:t>(RSK-09 realized)</w:t>
            </w:r>
            <w:r>
              <w:rPr>
                <w:sz w:val="18"/>
              </w:rPr>
              <w:t>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 formal re-baselining and re-confirmation of scope preserved continuity with no delivery disruption.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maintain a living charter and re-baseline formally on any sponsor change.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LL-14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Shadow-AI scope pressure recurred as business units requested additional use cases </w:t>
            </w:r>
            <w:r>
              <w:rPr>
                <w:sz w:val="18"/>
              </w:rPr>
              <w:t>(RSK-10 realized)</w:t>
            </w:r>
            <w:r>
              <w:rPr>
                <w:sz w:val="18"/>
              </w:rPr>
              <w:t>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CoE intake process either folded requests into the roadmap or deferred them, protecting scope.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KEEP — run a CoE intake/triage process to absorb demand without scope creep.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LL-15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Change-management effort was underestimated in the initial plan.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Additional OCM investment was needed to hit adoption targets.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IMPROVE — budget organizational change management more generously on AI programs than on traditional IT.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Disposition.</w:t>
            </w:r>
            <w:r>
              <w:rPr/>
              <w:t xml:space="preserve"> Nine lessons are "keep" practices to be codified as CoE standards; six are improvements folded into the CoE's playbook for future AI initiatives. Seven of the fifteen trace directly to risks anticipated in the original RAIDD register — evidence that disciplined forward risk identification at program start paid off in managed, rather than surprise, outcomes.</w:t>
            </w:r>
          </w:p>
        </w:tc>
      </w:tr>
    </w:tbl>
    <w:p/>
    <w:p>
      <w:pPr>
        <w:spacing w:before="280"/>
      </w:pPr>
      <w:r>
        <w:rPr>
          <w:i/>
          <w:color w:val="5B6472"/>
          <w:sz w:val="16"/>
        </w:rPr>
        <w:t>Illustrative program data for a fictional engagement (ACME Highland Health / Pulaski Advisory Group), created to demonstrate program-management practice. Lessons are modeled end-of-program reflections consistent with the program's risk register and delivery narrative. Cross-references: Project Closeout Report · RAIDD Log · Change Control Log.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