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PROGRAM BUDGET</w:t>
      </w:r>
    </w:p>
    <w:p>
      <w:pPr>
        <w:spacing w:before="0" w:after="40"/>
      </w:pPr>
      <w:r>
        <w:rPr>
          <w:b w:val="0"/>
          <w:color w:val="2B5C8A"/>
          <w:sz w:val="22"/>
        </w:rPr>
        <w:t>Financial Controls · Budget Baseline — Project Catalyst, AI Transformation Program</w:t>
      </w:r>
    </w:p>
    <w:p>
      <w:pPr>
        <w:spacing w:before="0" w:after="200"/>
      </w:pPr>
      <w:r>
        <w:rPr>
          <w:b w:val="0"/>
          <w:color w:val="5B6472"/>
          <w:sz w:val="19"/>
        </w:rPr>
        <w:t>ACME Highland Health  |  Pulaski Advisory Group  |  $99M · 262 people · 36.5 months</w:t>
      </w:r>
    </w:p>
    <w:p>
      <w:r>
        <w:rPr>
          <w:i/>
          <w:color w:val="5B6472"/>
        </w:rPr>
        <w:t xml:space="preserve">The authorized cost baseline for </w:t>
      </w:r>
      <w:r>
        <w:rPr>
          <w:b/>
          <w:i/>
          <w:color w:val="5B6472"/>
        </w:rPr>
        <w:t>Project Catalyst</w:t>
      </w:r>
      <w:r>
        <w:rPr>
          <w:i/>
          <w:color w:val="5B6472"/>
        </w:rPr>
        <w:t xml:space="preserve"> — $99,000,000 over 36.5 months. This document is the single financial control point for the program: it presents the baseline three ways (by cost category, by contract year, by WBS workstream), sets out the quarterly spend plan and earned-value baseline against which performance is measured, and records the rate card, funding schedule, contingency ledger, and the assumptions the numbers rest on. Status date: </w:t>
      </w:r>
      <w:r>
        <w:rPr>
          <w:b/>
          <w:i/>
          <w:color w:val="5B6472"/>
        </w:rPr>
        <w:t>11 September 2026</w:t>
      </w:r>
      <w:r>
        <w:rPr>
          <w:i/>
          <w:color w:val="5B6472"/>
        </w:rPr>
        <w:t xml:space="preserve"> (Week 4, Phase 0).</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Baseline status: stable.</w:t>
            </w:r>
            <w:r>
              <w:rPr/>
              <w:t xml:space="preserve"> The cost baseline has not changed since Charter authorization on 17 August 2026. No change request has altered the total authorized amount, no contingency has been released, and cost and schedule performance indices both sit at 1.00 at the Week-4 status date.</w:t>
            </w:r>
          </w:p>
        </w:tc>
      </w:tr>
    </w:tbl>
    <w:p/>
    <w:p>
      <w:pPr>
        <w:pStyle w:val="Heading2"/>
      </w:pPr>
      <w:r>
        <w:rPr>
          <w:color w:val="1B3A6B"/>
        </w:rPr>
        <w:t>1 · Baseline by Cost Category</w:t>
      </w:r>
    </w:p>
    <w:p>
      <w:r>
        <w:rPr/>
        <w:t>The Charter §13.1 cost structure. Labor accounts for $61.2M (61.8%) across three staffing models; cloud and AI platform infrastructure is the single largest non-labor line, reflecting a program whose core deliverable is a production AI platform.</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Cost Category</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Basis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Amount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 of Total</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Internal FTE Labor (ACME)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Loaded cost of ACME staff assigned to the program</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$19,600,000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19.8%</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Onshore Consultant Labor (Pulaski)</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Billable onshore consulting staff at contracted rates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$27,400,000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27.7%</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Offshore Consultant Labor (Pulaski)</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Billable offshore engineering and QA capacity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$14,200,000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14.3%</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Labor subtotal</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$61,200,000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61.8%</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Cloud &amp; AI Platform Infrastructure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Hyperscaler compute/storage, GenAI inference, MLOps tooling</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$26,900,000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27.2%</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Tooling &amp; Licenses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Delivery tooling, QA/test automation, observability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$1,900,000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1.9%</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Contingency Reserve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ESB-controlled, released against realized risk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$9,000,000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9.1%</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 Authorized Budget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100.0%</w:t>
            </w:r>
          </w:p>
        </w:tc>
      </w:tr>
    </w:tbl>
    <w:p/>
    <w:p>
      <w:pPr>
        <w:pStyle w:val="Heading2"/>
      </w:pPr>
      <w:r>
        <w:rPr>
          <w:color w:val="1B3A6B"/>
        </w:rPr>
        <w:t>2 · Baseline by Contract Year (SOW Envelopes)</w:t>
      </w:r>
    </w:p>
    <w:p>
      <w:r>
        <w:rPr/>
        <w:t>Each program year is contracted under a separate Statement of Work. Year 2 is the peak spend year, when BRD-02 and BRD-03 are delivered in parallel at maximum concurrent staffing.</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Year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Period</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Scope Focus</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Envelope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 of Total</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Year 1</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Aug 2026 – Aug 2027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Foundation, CoE &amp; governance, platform build, BRD-01 to production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$27,720,000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28.0%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Year 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Sep 2027 – Aug 2028</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BRD-02 and BRD-03 parallel delivery (peak staffing)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$41,580,000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42.0%</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Year 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Sep 2028 – Aug 2029</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Optimization, benefits realization, transition &amp; closeout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$29,700,000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36.5 months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100.0%</w:t>
            </w:r>
          </w:p>
        </w:tc>
      </w:tr>
    </w:tbl>
    <w:p/>
    <w:p>
      <w:r>
        <w:rPr/>
        <w:t xml:space="preserve">Envelopes tie exactly to </w:t>
      </w:r>
      <w:r>
        <w:rPr>
          <w:color w:val="2B5C8A"/>
        </w:rPr>
        <w:t>SOW-01</w:t>
      </w:r>
      <w:r>
        <w:rPr/>
        <w:t xml:space="preserve">, </w:t>
      </w:r>
      <w:r>
        <w:rPr>
          <w:color w:val="2B5C8A"/>
        </w:rPr>
        <w:t>SOW-02</w:t>
      </w:r>
      <w:r>
        <w:rPr/>
        <w:t xml:space="preserve"> and </w:t>
      </w:r>
      <w:r>
        <w:rPr>
          <w:color w:val="2B5C8A"/>
        </w:rPr>
        <w:t>SOW-03</w:t>
      </w:r>
      <w:r>
        <w:rPr/>
        <w:t xml:space="preserve"> and to the investment schedule in the </w:t>
      </w:r>
      <w:r>
        <w:rPr>
          <w:color w:val="2B5C8A"/>
        </w:rPr>
        <w:t>Cost-Benefit Analysis</w:t>
      </w:r>
      <w:r>
        <w:rPr/>
        <w:t>.</w:t>
      </w:r>
    </w:p>
    <w:p>
      <w:pPr>
        <w:pStyle w:val="Heading2"/>
      </w:pPr>
      <w:r>
        <w:rPr>
          <w:color w:val="1B3A6B"/>
        </w:rPr>
        <w:t>3 · Baseline by WBS Workstream</w:t>
      </w:r>
    </w:p>
    <w:p>
      <w:r>
        <w:rPr/>
        <w:t xml:space="preserve">The same $99.0M allocated against the seven WBS elements — the view used for work-package cost control on the </w:t>
      </w:r>
      <w:r>
        <w:rPr>
          <w:color w:val="2B5C8A"/>
        </w:rPr>
        <w:t>WBS Budget Rollup</w:t>
      </w:r>
      <w:r>
        <w:rPr/>
        <w:t>.</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WBS</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Workstream</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Type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Budget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 of Total</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Program Management &amp; PMO</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Management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$12,600,000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12.7%</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Cross-cutting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$20,700,000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20.9%</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AI Governance &amp; Center of Excellence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Cross-cutting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$13,200,000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13.3%</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BRD-01 · Claims &amp; Prior Authorization AI</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$11,020,000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11.1%</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BRD-02 · Member &amp; Provider Experience AI</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Delivery</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$13,200,000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13.3%</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BRD-03 · Underwriting &amp; Risk AI</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Delivery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$12,480,000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12.6%</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7.0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Optimization, Benefits &amp; Closeout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Sustain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$15,800,000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16.0%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100.0%</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Three views, one number.</w:t>
            </w:r>
            <w:r>
              <w:rPr/>
              <w:t xml:space="preserve"> Category, contract year, and workstream are three cuts of the same authorized $99.0M — each foots to the total exactly. Any approved change request must be reflected in all three views simultaneously, and the </w:t>
            </w:r>
            <w:r>
              <w:rPr>
                <w:color w:val="2B5C8A"/>
              </w:rPr>
              <w:t>Change Control Log</w:t>
            </w:r>
            <w:r>
              <w:rPr/>
              <w:t xml:space="preserve"> is the controlling record.</w:t>
            </w:r>
          </w:p>
        </w:tc>
      </w:tr>
    </w:tbl>
    <w:p/>
    <w:p>
      <w:pPr>
        <w:pStyle w:val="Heading2"/>
      </w:pPr>
      <w:r>
        <w:rPr>
          <w:color w:val="1B3A6B"/>
        </w:rPr>
        <w:t>4 · Quarterly Spend Plan &amp; Cash-Flow Curve</w:t>
      </w:r>
    </w:p>
    <w:p>
      <w:r>
        <w:rPr/>
        <w:t>Planned expenditure by program quarter. The curve shows the expected S-shape: a deliberately slow Phase-0 mobilization, steep ramp through BRD-01 delivery, a Year-2 plateau at peak concurrent staffing, then a Year-3 taper as delivery teams roll off and the program transitions to steady-state operations.</w:t>
      </w:r>
    </w:p>
    <w:tbl>
      <w:tblPr>
        <w:tblStyle w:val="TableGrid"/>
        <w:tblW w:type="auto" w:w="0"/>
        <w:jc w:val="center"/>
        <w:tblLook w:firstColumn="1" w:firstRow="1" w:lastColumn="0" w:lastRow="0" w:noHBand="0" w:noVBand="1" w:val="04A0"/>
      </w:tblPr>
      <w:tblGrid>
        <w:gridCol w:w="1608"/>
        <w:gridCol w:w="1608"/>
        <w:gridCol w:w="1608"/>
        <w:gridCol w:w="1608"/>
        <w:gridCol w:w="1608"/>
        <w:gridCol w:w="1608"/>
      </w:tblGrid>
      <w:tr>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Quarter</w:t>
            </w:r>
          </w:p>
        </w:tc>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Period</w:t>
            </w:r>
          </w:p>
        </w:tc>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Phase Focus</w:t>
            </w:r>
          </w:p>
        </w:tc>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Planned Spend</w:t>
            </w:r>
          </w:p>
        </w:tc>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Cumulative</w:t>
            </w:r>
          </w:p>
        </w:tc>
        <w:tc>
          <w:tcPr>
            <w:tcW w:type="dxa" w:w="1608"/>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Cum. %</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Y1 Q1</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Aug – Nov 2026</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Phase 0 mobilization, readiness, vendor selection</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$4,200,000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$4,200,000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4.2%</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Y1 Q2</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 2026 – Feb 2027</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BRD-01 requirements, platform foundation build</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$6,300,000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$10,500,000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10.6%</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Y1 Q3</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Mar – May 2027</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Platform live, BRD-01 model development</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$8,100,000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$18,600,000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18.8%</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Y1 Q4</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Jun – Aug 2027</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BRD-01 test, IMV, UAT, production go-live</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$9,120,000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$27,720,000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28.0%</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Year 1</w:t>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$27,720,000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Y2 Q1</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Sep – Nov 2027</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BRD-02 &amp; BRD-03 mobilization and design</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$9,500,000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$37,220,000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37.6%</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Y2 Q2</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Dec 2027 – Feb 2028</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Parallel build — peak staffing</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$10,800,000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$48,020,000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48.5%</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Y2 Q3</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Mar – May 2028</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Parallel build &amp; test — peak spend</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$11,000,000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$59,020,000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59.6%</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Y2 Q4</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Jun – Aug 2028</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BRD-02 UAT and production preparation</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$10,280,000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$69,300,000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70.0%</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Year 2</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$41,580,000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Y3 Q1</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Sep – Nov 2028</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BRD-02 production, BRD-03 validation &amp; go-live</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$9,600,000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$78,900,000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79.7%</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Y3 Q2</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 2028 – Feb 2029</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Optimization and retraining cycles</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$8,400,000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$87,300,000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88.2%</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Y3 Q3</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Mar – May 2029</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Benefits audit, knowledge transfer</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$6,900,000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$94,200,000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95.2%</w:t>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Y3 Q4</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Jun – Aug 2029</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Steady-state transition and closeout</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$4,800,000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100.0%</w:t>
            </w:r>
          </w:p>
        </w:tc>
      </w:tr>
      <w:tr>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Year 3</w:t>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r>
              <w:rPr>
                <w:sz w:val="18"/>
              </w:rPr>
              <w:t>$29,700,000</w:t>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c>
          <w:tcPr>
            <w:tcW w:type="dxa" w:w="1608"/>
            <w:tcBorders>
              <w:top w:val="single" w:sz="4" w:space="0" w:color="D9DEE6"/>
              <w:left w:val="single" w:sz="4" w:space="0" w:color="D9DEE6"/>
              <w:bottom w:val="single" w:sz="4" w:space="0" w:color="D9DEE6"/>
              <w:right w:val="single" w:sz="4" w:space="0" w:color="D9DEE6"/>
            </w:tcBorders>
          </w:tcPr>
          <w:p>
            <w:r>
              <w:rPr>
                <w:sz w:val="18"/>
              </w:rPr>
            </w:r>
          </w:p>
        </w:tc>
      </w:tr>
      <w:tr>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1608"/>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100.0%</w:t>
            </w:r>
          </w:p>
        </w:tc>
      </w:tr>
    </w:tbl>
    <w:p/>
    <w:p>
      <w:pPr>
        <w:pStyle w:val="Heading2"/>
      </w:pPr>
      <w:r>
        <w:rPr>
          <w:color w:val="1B3A6B"/>
        </w:rPr>
        <w:t>5 · Earned Value Baseline</w:t>
      </w:r>
    </w:p>
    <w:p>
      <w:r>
        <w:rPr/>
        <w:t>The spend plan above is the performance measurement baseline (PMB) against which earned value is calculated. Position at the 11 September 2026 status date:</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Measure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Definition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Value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Interpretation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BAC — Budget at Completion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Total authorized baseline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$99,000,000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Unchanged since authorization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PV — Planned Value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Budgeted cost of work scheduled to date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Week-4 Phase-0 position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EV — Earned Value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Budgeted cost of work performed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$2,000,000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Work performed matches plan</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 — Actual Cost</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Actual cost of work performed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Spend matches earned value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SV — Schedule Variance (EV−PV)</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Schedule position in cost terms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schedule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CV — Cost Variance (EV−AC)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Cost position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 budget</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SPI — Schedule Performance Index</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EV ÷ PV</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On baseline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CPI — Cost Performance Index</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EV ÷ AC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On baseline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EAC — Estimate at Completion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BAC ÷ CPI</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$99,000,000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Forecast equals baseline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ETC — Estimate to Complete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EAC − AC</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$97,000,000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Remaining forecast spend</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VAC — Variance at Completion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BAC − EAC</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No forecast overrun</w:t>
            </w:r>
          </w:p>
        </w:tc>
      </w:tr>
    </w:tbl>
    <w:p/>
    <w:p>
      <w:r>
        <w:rPr/>
        <w:t xml:space="preserve">Budget-weighted completion is </w:t>
      </w:r>
      <w:r>
        <w:rPr>
          <w:b/>
        </w:rPr>
        <w:t>2.0%</w:t>
      </w:r>
      <w:r>
        <w:rPr/>
        <w:t xml:space="preserve"> (EV ÷ BAC). The </w:t>
      </w:r>
      <w:r>
        <w:rPr>
          <w:color w:val="2B5C8A"/>
        </w:rPr>
        <w:t>Resource-Loaded WBS</w:t>
      </w:r>
      <w:r>
        <w:rPr/>
        <w:t xml:space="preserve"> reports schedule (duration-weighted) percent complete for the same status date — a different, complementary measure. EVM is reported monthly to the Executive Steering Board by Program Finance.</w:t>
      </w:r>
    </w:p>
    <w:p>
      <w:pPr>
        <w:pStyle w:val="Heading2"/>
      </w:pPr>
      <w:r>
        <w:rPr>
          <w:color w:val="1B3A6B"/>
        </w:rPr>
        <w:t>6 · Cost by Phase</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Phase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Period</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Budget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 of Total</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Principal Cost Drivers</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Phase 0 — Foundation &amp; Mobilization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Aug – Nov 2026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$4,200,000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4.2%</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Readiness assessment, governance stand-up, vendor selection</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Phase 1 — BRD-01 Delivery</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 2026 – Aug 2027</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$23,520,000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23.8%</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foundation, BRD-01 build/test/IMV, first production go-live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Phase 2 — Expansion (BRD-02 &amp; BRD-03)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Sep 2027 – Aug 2028</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$41,580,000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42.0%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Peak concurrent staffing, parallel delivery, scaled compute</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Phase 3 — Optimization &amp; Closeout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Sep 2028 – Aug 2029</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$29,700,000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Retraining, benefits audit, knowledge transfer, transition</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Total</w:t>
            </w:r>
          </w:p>
        </w:tc>
        <w:tc>
          <w:tcPr>
            <w:tcW w:type="dxa" w:w="1930"/>
            <w:tcBorders>
              <w:top w:val="single" w:sz="4" w:space="0" w:color="D9DEE6"/>
              <w:left w:val="single" w:sz="4" w:space="0" w:color="D9DEE6"/>
              <w:bottom w:val="single" w:sz="4" w:space="0" w:color="D9DEE6"/>
              <w:right w:val="single" w:sz="4" w:space="0" w:color="D9DEE6"/>
            </w:tcBorders>
          </w:tcPr>
          <w:p>
            <w:r>
              <w:rPr>
                <w:sz w:val="18"/>
              </w:rPr>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$99,000,000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p>
        </w:tc>
      </w:tr>
    </w:tbl>
    <w:p/>
    <w:p>
      <w:pPr>
        <w:pStyle w:val="Heading2"/>
      </w:pPr>
      <w:r>
        <w:rPr>
          <w:color w:val="1B3A6B"/>
        </w:rPr>
        <w:t>7 · Labor Rate Card</w:t>
      </w:r>
    </w:p>
    <w:p>
      <w:r>
        <w:rPr/>
        <w:t xml:space="preserve">Blended rate structure underpinning the $61.2M labor baseline, drawn from the </w:t>
      </w:r>
      <w:r>
        <w:rPr>
          <w:color w:val="2B5C8A"/>
        </w:rPr>
        <w:t>Resource Plan</w:t>
      </w:r>
      <w:r>
        <w:rPr/>
        <w:t>. Onshore-only staffing is contractually required for Legal, Compliance, SOX, executive, and PHI claims-decision roles; offshore capacity is concentrated in platform engineering and QA.</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Staffing Model</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Roles Covered</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Headcount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Rate Range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Blended</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ACME Internal FTE (onshore)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Executive, business SME, clinical, operations, UAT, IT operations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132</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$62 – $280/hr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$135/hr</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Pulaski Consultant — onshore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leadership, architecture, AI/ML engineering, governance, IMV</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75</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$90 – $165/hr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$133/hr</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Pulaski Consultant — offshore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Platform &amp; data engineering, QA and test automation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$60 – $85/hr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$74/hr</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Life-of-program roster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262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$60 – $280/hr</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$122/hr</w:t>
            </w:r>
          </w:p>
        </w:tc>
      </w:tr>
    </w:tbl>
    <w:p/>
    <w:p>
      <w:r>
        <w:rPr/>
        <w:t>Headcount is the life-of-program roster, not concurrent staffing; teams ramp on and off by phase. Rates are held firm for the life of each annual SOW, with escalation negotiated at renewal (see assumptions below).</w:t>
      </w:r>
    </w:p>
    <w:p>
      <w:pPr>
        <w:pStyle w:val="Heading2"/>
      </w:pPr>
      <w:r>
        <w:rPr>
          <w:color w:val="1B3A6B"/>
        </w:rPr>
        <w:t>8 · Funding &amp; Authorization Schedule</w:t>
      </w:r>
    </w:p>
    <w:p>
      <w:r>
        <w:rPr/>
        <w:t>Funding is authorized annually against SOW execution, not released as a single lump sum. Each authorization is contingent on the prior year's phase-gate outcome, giving the Executive Steering Board a genuine stage-gate on continued investment.</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Authorization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Trigger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Amount</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Status</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Year 1 funding (SOW-01)</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Charter approval &amp; SOW-01 execution</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$27,720,000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Authorized 17 Aug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Year 2 funding (SOW-02)</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Year-1 close &amp; BRD-01 production acceptance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$41,580,000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Planned Sep 2027</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Year 3 funding (SOW-03)</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Year-2 close &amp; BRD-02/03 delivery acceptance</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$29,700,000</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Planned Sep 2028</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Total program authorization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$99,000,000</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p>
        </w:tc>
      </w:tr>
    </w:tbl>
    <w:p/>
    <w:p>
      <w:r>
        <w:rPr/>
        <w:t>Invoicing runs against milestone payment schedules defined in each SOW; Program Finance reconciles invoices to earned value monthly, and SOX/Financial Controls reviews any item affecting claims-payment or financial-reporting systems.</w:t>
      </w:r>
    </w:p>
    <w:p>
      <w:pPr>
        <w:pStyle w:val="Heading2"/>
      </w:pPr>
      <w:r>
        <w:rPr>
          <w:color w:val="1B3A6B"/>
        </w:rPr>
        <w:t>9 · Contingency Reserve Ledger</w:t>
      </w:r>
    </w:p>
    <w:p>
      <w:r>
        <w:rPr/>
        <w:t>The $9.0M contingency (9.1% of baseline) is held by the Executive Steering Board and released only against realized risk, never to absorb scope growth — scope changes follow the change-control path and require their own funding decision.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Date</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Event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Linked Risk</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Drawn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Balance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17 Aug 2026</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Contingency established at Charter authorization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$9,000,000</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11 Sep 2026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Position at status date — no drawdowns to date</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$9,000,000</w:t>
            </w:r>
          </w:p>
        </w:tc>
      </w:tr>
    </w:tbl>
    <w:p/>
    <w:p>
      <w:pPr>
        <w:pStyle w:val="Heading3"/>
      </w:pPr>
      <w:r>
        <w:rPr>
          <w:color w:val="2B5C8A"/>
        </w:rPr>
        <w:t>Release authority</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Drawdown Amount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Approval Authority</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Evidence Required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Up to $250,000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RAIDD entry, cost basis, PMO log</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$250,000 – $500,000</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Director + Program Finance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Root cause, alternatives considered</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$500,000 – $1,000,000</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Executive Steering Board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Formal presentation with root cause, alternatives, payback</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Above $1,000,000</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 (direct approval)</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Full business case and re-baselining assessment</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Reserve adequacy.</w:t>
            </w:r>
            <w:r>
              <w:rPr/>
              <w:t xml:space="preserve"> The ten anticipated risks on the </w:t>
            </w:r>
            <w:r>
              <w:rPr>
                <w:color w:val="2B5C8A"/>
              </w:rPr>
              <w:t>RAIDD Log</w:t>
            </w:r>
            <w:r>
              <w:rPr/>
              <w:t xml:space="preserve"> were sized against this reserve at authorization. The two largest exposures — legacy data remediation (RSK-01) and GenAI compute cost escalation (RSK-02) — are together the primary reason the reserve is set at 9.1% rather than a more typical 5–7% for an IT program of this size.</w:t>
            </w:r>
          </w:p>
        </w:tc>
      </w:tr>
    </w:tbl>
    <w:p/>
    <w:p>
      <w:pPr>
        <w:pStyle w:val="Heading2"/>
      </w:pPr>
      <w:r>
        <w:rPr>
          <w:color w:val="1B3A6B"/>
        </w:rPr>
        <w:t>10 · Budget Assumptions &amp; Exclusions</w:t>
      </w:r>
    </w:p>
    <w:p>
      <w:pPr>
        <w:pStyle w:val="Heading3"/>
      </w:pPr>
      <w:r>
        <w:rPr>
          <w:color w:val="2B5C8A"/>
        </w:rPr>
        <w:t>Assumptions</w:t>
      </w:r>
    </w:p>
    <w:p>
      <w:pPr>
        <w:pStyle w:val="ListBullet"/>
      </w:pPr>
      <w:r>
        <w:rPr>
          <w:b/>
        </w:rPr>
        <w:t>Rate stability</w:t>
      </w:r>
      <w:r>
        <w:rPr/>
        <w:t xml:space="preserve"> — consultant rates are held firm within each annual SOW; escalation is negotiated at renewal and absorbed within the following year's envelope.</w:t>
      </w:r>
    </w:p>
    <w:p>
      <w:pPr>
        <w:pStyle w:val="ListBullet"/>
      </w:pPr>
      <w:r>
        <w:rPr>
          <w:b/>
        </w:rPr>
        <w:t>Cloud cost escalation of 0.8% per year</w:t>
      </w:r>
      <w:r>
        <w:rPr/>
        <w:t xml:space="preserve"> on committed infrastructure, consistent with the </w:t>
      </w:r>
      <w:r>
        <w:rPr>
          <w:color w:val="2B5C8A"/>
        </w:rPr>
        <w:t>TCO model</w:t>
      </w:r>
      <w:r>
        <w:rPr/>
        <w:t>; GenAI inference cost is treated as variable and governed by FinOps guardrails.</w:t>
      </w:r>
    </w:p>
    <w:p>
      <w:pPr>
        <w:pStyle w:val="ListBullet"/>
      </w:pPr>
      <w:r>
        <w:rPr>
          <w:b/>
        </w:rPr>
        <w:t>Staffing ramp follows the Resource Plan</w:t>
      </w:r>
      <w:r>
        <w:rPr/>
        <w:t xml:space="preserve"> — the 262-person roster is a life-of-program figure with phase-based ramping, not concurrent headcount.</w:t>
      </w:r>
    </w:p>
    <w:p>
      <w:pPr>
        <w:pStyle w:val="ListBullet"/>
      </w:pPr>
      <w:r>
        <w:rPr>
          <w:b/>
        </w:rPr>
        <w:t>ACME internal FTE cost</w:t>
      </w:r>
      <w:r>
        <w:rPr/>
        <w:t xml:space="preserve"> is charged at loaded cost, not market rate, and is a real budget line rather than a notional allocation.</w:t>
      </w:r>
    </w:p>
    <w:p>
      <w:pPr>
        <w:pStyle w:val="ListBullet"/>
      </w:pPr>
      <w:r>
        <w:rPr>
          <w:b/>
        </w:rPr>
        <w:t>No benefit offsets</w:t>
      </w:r>
      <w:r>
        <w:rPr/>
        <w:t xml:space="preserve"> are netted against program cost; benefits are tracked separately in the CBA.</w:t>
      </w:r>
    </w:p>
    <w:p>
      <w:pPr>
        <w:pStyle w:val="Heading3"/>
      </w:pPr>
      <w:r>
        <w:rPr>
          <w:color w:val="2B5C8A"/>
        </w:rPr>
        <w:t>Exclusions</w:t>
      </w:r>
    </w:p>
    <w:p>
      <w:pPr>
        <w:pStyle w:val="ListBullet"/>
      </w:pPr>
      <w:r>
        <w:rPr>
          <w:b/>
        </w:rPr>
        <w:t>CMS-0057-F baseline compliance</w:t>
      </w:r>
      <w:r>
        <w:rPr/>
        <w:t xml:space="preserve"> — funded and delivered as a separate ACME project; only the coordination interface is in scope here.</w:t>
      </w:r>
    </w:p>
    <w:p>
      <w:pPr>
        <w:pStyle w:val="ListBullet"/>
      </w:pPr>
      <w:r>
        <w:rPr>
          <w:b/>
        </w:rPr>
        <w:t>Steady-state run cost beyond program close</w:t>
      </w:r>
      <w:r>
        <w:rPr/>
        <w:t xml:space="preserve"> — the $9.5M/year ongoing operating cost from Year 4 is modeled in the CBA and TCO, not in this baseline.</w:t>
      </w:r>
    </w:p>
    <w:p>
      <w:pPr>
        <w:pStyle w:val="ListBullet"/>
      </w:pPr>
      <w:r>
        <w:rPr>
          <w:b/>
        </w:rPr>
        <w:t>Downstream business-unit change costs</w:t>
      </w:r>
      <w:r>
        <w:rPr/>
        <w:t xml:space="preserve"> outside the program's change-management scope.</w:t>
      </w:r>
    </w:p>
    <w:p>
      <w:pPr>
        <w:pStyle w:val="ListBullet"/>
      </w:pPr>
      <w:r>
        <w:rPr>
          <w:b/>
        </w:rPr>
        <w:t>Future AI use cases</w:t>
      </w:r>
      <w:r>
        <w:rPr/>
        <w:t xml:space="preserve"> beyond BRD-01/02/03, which enter through the CoE intake process with their own funding.</w:t>
      </w:r>
    </w:p>
    <w:p>
      <w:pPr>
        <w:pStyle w:val="Heading2"/>
      </w:pPr>
      <w:r>
        <w:rPr>
          <w:color w:val="1B3A6B"/>
        </w:rPr>
        <w:t>11 · Budget Controls &amp; Reporting</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Control</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Cadence</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Escalation</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EVM calculation &amp; variance analysis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Finance (A. Rodriguez)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CPI or SPI &lt; 0.95 → ESB</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Actuals-to-invoice reconciliation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Program Finance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Variance &gt; 2% → Program Director</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Forecast (EAC) refresh</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Quarterly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Finance + PMO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VAC &gt; $1M → ESB</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Cloud/AI compute cost review (FinOps)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Monthly</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Lead + Program Finance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Run-rate breach → EARB &amp; ESB</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Contingency ledger review</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Monthly</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PMO (T. Valdez)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Per release-authority table above</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controls testing (payment-affecting scope)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Per release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 Financial Controls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Control failure → Compliance &amp; ESB</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Reading this document.</w:t>
            </w:r>
            <w:r>
              <w:rPr/>
              <w:t xml:space="preserve"> The budget is the cost baseline; the </w:t>
            </w:r>
            <w:r>
              <w:rPr>
                <w:color w:val="2B5C8A"/>
              </w:rPr>
              <w:t>CBA</w:t>
            </w:r>
            <w:r>
              <w:rPr/>
              <w:t xml:space="preserve"> tests whether that investment is worth making, the </w:t>
            </w:r>
            <w:r>
              <w:rPr>
                <w:color w:val="2B5C8A"/>
              </w:rPr>
              <w:t>TCO</w:t>
            </w:r>
            <w:r>
              <w:rPr/>
              <w:t xml:space="preserve"> extends the view to ten-year ownership, and the </w:t>
            </w:r>
            <w:r>
              <w:rPr>
                <w:color w:val="2B5C8A"/>
              </w:rPr>
              <w:t>WBS Budget Rollup</w:t>
            </w:r>
            <w:r>
              <w:rPr/>
              <w:t xml:space="preserve"> decomposes it to work-package level for day-to-day control. Approved changes flow through the </w:t>
            </w:r>
            <w:r>
              <w:rPr>
                <w:color w:val="2B5C8A"/>
              </w:rPr>
              <w:t>Change Control Log</w:t>
            </w:r>
            <w:r>
              <w:rPr/>
              <w:t>.</w:t>
            </w:r>
          </w:p>
        </w:tc>
      </w:tr>
    </w:tbl>
    <w:p/>
    <w:p>
      <w:pPr>
        <w:spacing w:before="280"/>
      </w:pPr>
      <w:r>
        <w:rPr>
          <w:i/>
          <w:color w:val="5B6472"/>
          <w:sz w:val="16"/>
        </w:rPr>
        <w:t>Illustrative program data for a fictional engagement (ACME Highland Health / Pulaski Advisory Group), created to demonstrate program-management practice. All figures are modeled and reconcile to the $99.0M authorized baseline across cost category, contract year, WBS workstream, quarterly spend plan, and phase; the rate card is derived from the Resource Plan roster. Not actual financial records. Cross-references: Cost-Benefit Analysis · Total Cost of Ownership · WBS Budget Rollup · Program Dashboard.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