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COST-BENEFIT ANALYSIS</w:t>
      </w:r>
    </w:p>
    <w:p>
      <w:pPr>
        <w:spacing w:before="0" w:after="40"/>
      </w:pPr>
      <w:r>
        <w:rPr>
          <w:b w:val="0"/>
          <w:color w:val="2B5C8A"/>
          <w:sz w:val="22"/>
        </w:rPr>
        <w:t>Business Case — Project Catalyst, AI Transformation Program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pPr>
        <w:pStyle w:val="Heading2"/>
      </w:pPr>
      <w:r>
        <w:rPr>
          <w:color w:val="1B3A6B"/>
        </w:rPr>
        <w:t>Executive Summary</w:t>
      </w:r>
    </w:p>
    <w:p>
      <w:r>
        <w:rPr>
          <w:b/>
          <w:i/>
          <w:color w:val="5B6472"/>
        </w:rPr>
        <w:t>Project Catalyst</w:t>
      </w:r>
      <w:r>
        <w:rPr>
          <w:i/>
          <w:color w:val="5B6472"/>
        </w:rPr>
        <w:t xml:space="preserve"> is a $99.0M, 36.5-month investment to build enterprise AI capability at ACME Highland Health across claims &amp; prior authorization, member &amp; provider experience, and underwriting &amp; risk. This analysis models the program over a 10-year horizon at an 8% discount rate. The business case is </w:t>
      </w:r>
      <w:r>
        <w:rPr>
          <w:b/>
          <w:i/>
          <w:color w:val="5B6472"/>
        </w:rPr>
        <w:t>positive but disciplined</w:t>
      </w:r>
      <w:r>
        <w:rPr>
          <w:i/>
          <w:color w:val="5B6472"/>
        </w:rPr>
        <w:t>: it clears the 8% hurdle with a modest margin, and its return depends on delivering the benefit ramp on schedule. It is presented on conservative assumptions rather than optimistic ones — the intent is a case that holds up under scrutiny, not one that flatters the program.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Recommendation: Proceed.</w:t>
            </w:r>
            <w:r>
              <w:rPr/>
              <w:t xml:space="preserve"> The program returns a positive NPV of </w:t>
            </w:r>
            <w:r>
              <w:rPr>
                <w:b/>
              </w:rPr>
              <w:t>+$2,968,904</w:t>
            </w:r>
            <w:r>
              <w:rPr/>
              <w:t xml:space="preserve"> and an IRR of </w:t>
            </w:r>
            <w:r>
              <w:rPr>
                <w:b/>
              </w:rPr>
              <w:t>8.94%</w:t>
            </w:r>
            <w:r>
              <w:rPr/>
              <w:t>, clearing the 8% cost of capital. Simple payback is ~7.6 years from program start (~9.6 years on a discounted basis, within the 10-year window); measured from the start of steady-state operations — once the 3-year build is complete — operational payback is ~4.6 years. Because the margin over the hurdle is modest, approval should be paired with disciplined benefit-realization tracking and the FinOps controls described below.</w:t>
            </w:r>
          </w:p>
        </w:tc>
      </w:tr>
    </w:tbl>
    <w:p/>
    <w:p>
      <w:pPr>
        <w:pStyle w:val="Heading2"/>
      </w:pPr>
      <w:r>
        <w:rPr>
          <w:color w:val="1B3A6B"/>
        </w:rPr>
        <w:t>1 · Approach &amp; Methodology</w:t>
      </w:r>
    </w:p>
    <w:p>
      <w:r>
        <w:rPr/>
        <w:t>The analysis compares the fully-loaded program investment against quantified, risk-adjusted operational benefits over a 10-year horizon (Years 1–3 build; Years 4–10 steady-state operation). Key modeling conventions:</w:t>
      </w:r>
    </w:p>
    <w:p>
      <w:pPr>
        <w:pStyle w:val="ListBullet"/>
      </w:pPr>
      <w:r>
        <w:rPr>
          <w:b/>
        </w:rPr>
        <w:t>Discount rate 8%</w:t>
      </w:r>
      <w:r>
        <w:rPr/>
        <w:t xml:space="preserve"> — ACME's weighted cost of capital; all cash flows discounted to present value at end-of-year timing.</w:t>
      </w:r>
    </w:p>
    <w:p>
      <w:pPr>
        <w:pStyle w:val="ListBullet"/>
      </w:pPr>
      <w:r>
        <w:rPr>
          <w:b/>
        </w:rPr>
        <w:t>Conservative benefit recognition</w:t>
      </w:r>
      <w:r>
        <w:rPr/>
        <w:t xml:space="preserve"> — no benefit during the build beyond partial ramp as capabilities go live; full run-rate not assumed until Year 5.</w:t>
      </w:r>
    </w:p>
    <w:p>
      <w:pPr>
        <w:pStyle w:val="ListBullet"/>
      </w:pPr>
      <w:r>
        <w:rPr>
          <w:b/>
        </w:rPr>
        <w:t>Run-state cost included</w:t>
      </w:r>
      <w:r>
        <w:rPr/>
        <w:t xml:space="preserve"> — ongoing cloud/compute, model monitoring and retraining, and CoE operations of $9.5M/year netted against gross benefit from Year 4 onward.</w:t>
      </w:r>
    </w:p>
    <w:p>
      <w:pPr>
        <w:pStyle w:val="ListBullet"/>
      </w:pPr>
      <w:r>
        <w:rPr>
          <w:b/>
        </w:rPr>
        <w:t>Benefits are operational, not headcount-elimination</w:t>
      </w:r>
      <w:r>
        <w:rPr/>
        <w:t xml:space="preserve"> — modeled as productivity, deflection, automation, and loss-avoidance, consistent with the program's human-in-the-loop governance posture.</w:t>
      </w:r>
    </w:p>
    <w:p>
      <w:pPr>
        <w:pStyle w:val="ListBullet"/>
      </w:pPr>
      <w:r>
        <w:rPr>
          <w:b/>
        </w:rPr>
        <w:t>Excludes</w:t>
      </w:r>
      <w:r>
        <w:rPr/>
        <w:t xml:space="preserve"> the separate CMS-0057-F baseline compliance project (out of scope) and any speculative revenue upside.</w:t>
      </w:r>
    </w:p>
    <w:p>
      <w:pPr>
        <w:pStyle w:val="Heading2"/>
      </w:pPr>
      <w:r>
        <w:rPr>
          <w:color w:val="1B3A6B"/>
        </w:rPr>
        <w:t>2 · Investment (Cost) Model</w:t>
      </w:r>
    </w:p>
    <w:p>
      <w:r>
        <w:rPr/>
        <w:t>The $99.0M program investment is drawn against three annual SOW envelopes. Steady-state run cost of $9.5M/year begins once capabilities are in production (Year 4+).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Program Year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Scope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Build Investment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Run-State Cost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Year 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Foundation, CoE, Platform, BRD-01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$27,720,000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Year 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BRD-02, BRD-03 (peak delivery)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$41,580,000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Year 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Optimization &amp; sustain, closeout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$29,700,000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Years 4–10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Steady-state operation (per year)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$9,500,000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Build total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$99,000,000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$9.5M/yr</w:t>
            </w:r>
          </w:p>
        </w:tc>
      </w:tr>
    </w:tbl>
    <w:p/>
    <w:p>
      <w:r>
        <w:rPr/>
        <w:t xml:space="preserve">Build investment reconciles to the </w:t>
      </w:r>
      <w:r>
        <w:rPr>
          <w:color w:val="2B5C8A"/>
        </w:rPr>
        <w:t>Program Budget</w:t>
      </w:r>
      <w:r>
        <w:rPr/>
        <w:t xml:space="preserve"> and Charter §13.1. Run-state cost reconciles to the ongoing-operations line in the </w:t>
      </w:r>
      <w:r>
        <w:rPr>
          <w:color w:val="2B5C8A"/>
        </w:rPr>
        <w:t>TCO model</w:t>
      </w:r>
      <w:r>
        <w:rPr/>
        <w:t>.</w:t>
      </w:r>
    </w:p>
    <w:p>
      <w:pPr>
        <w:pStyle w:val="Heading2"/>
      </w:pPr>
      <w:r>
        <w:rPr>
          <w:color w:val="1B3A6B"/>
        </w:rPr>
        <w:t>3 · Benefit Model — Full Run-Rate (Year 5+)</w:t>
      </w:r>
    </w:p>
    <w:p>
      <w:r>
        <w:rPr/>
        <w:t xml:space="preserve">Four quantified benefit streams total </w:t>
      </w:r>
      <w:r>
        <w:rPr>
          <w:b/>
        </w:rPr>
        <w:t>$27.2M</w:t>
      </w:r>
      <w:r>
        <w:rPr/>
        <w:t xml:space="preserve"> annually at full run-rate, each modeled conservatively from ACME's operating baselines.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Benefit Stream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Basis of Estimate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Annual Value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Claims &amp; PA Automation &amp; Labor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~800k annual prior-auth requests; AI auto-adjudication of routine cases under clinical oversight reduces manual review labor and cycle time against a ~$30/request baseline cost.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$12,800,000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PA &amp; Claims Fraud / Waste Detection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Improved detection of inappropriate or anomalous prior-auth and claims patterns via model scoring.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$2,400,000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Member &amp; Provider Experience &amp; Deflection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Virtual-assistant contact deflection plus agent-assist productivity across member and provider service channels.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$8,800,000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Underwriting Risk &amp; Productivity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Improved risk selection and underwriter throughput from decision-support scoring (post independent validation).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$3,200,000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Total Full Run-Rate Annual Benefit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$27,200,000</w:t>
            </w:r>
          </w:p>
        </w:tc>
      </w:tr>
    </w:tbl>
    <w:p/>
    <w:p>
      <w:pPr>
        <w:pStyle w:val="Heading3"/>
      </w:pPr>
      <w:r>
        <w:rPr>
          <w:color w:val="2B5C8A"/>
        </w:rPr>
        <w:t>Benefit Realization Ramp (Years 1–5)</w:t>
      </w:r>
    </w:p>
    <w:p>
      <w:r>
        <w:rPr/>
        <w:t>Benefits ramp as capabilities reach production and adoption matures — a deliberately conservative curve given the phased BRD go-lives.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Year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Phase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Realization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Gross Benefit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Drivers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Year 1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Build &amp; Pilot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0%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BRD-01 pilot only; no production volume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Year 2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BRD-01 ramp + BRD-02/03 pilot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25%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$6,800,000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BRD-01 in production (PA automation ramping); BRD-02/03 in pilot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Year 3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Expansion &amp; optimization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55%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$14,960,000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BRD-02 to production; BRD-03 ramping; PA approaching steady-state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Year 4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Sustained operations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85%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$23,120,000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All BRDs in steady-state on trailing edge of ramp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Year 5+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Full run-rate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100%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$27,200,000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All systems optimized; full benefit capture</w:t>
            </w:r>
          </w:p>
        </w:tc>
      </w:tr>
    </w:tbl>
    <w:p/>
    <w:p>
      <w:pPr>
        <w:pStyle w:val="Heading2"/>
      </w:pPr>
      <w:r>
        <w:rPr>
          <w:color w:val="1B3A6B"/>
        </w:rPr>
        <w:t>4 · 10-Year Cash Flow, NPV, IRR &amp; Payback</w:t>
      </w:r>
    </w:p>
    <w:p>
      <w:r>
        <w:rPr/>
        <w:t>Net cash flow combines build investment (Years 1–3), realized gross benefit, and run-state cost (Years 4+), discounted at 8%.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06"/>
        <w:gridCol w:w="1206"/>
        <w:gridCol w:w="1206"/>
        <w:gridCol w:w="1206"/>
        <w:gridCol w:w="1206"/>
        <w:gridCol w:w="1206"/>
        <w:gridCol w:w="1206"/>
        <w:gridCol w:w="1206"/>
      </w:tblGrid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Yr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Investment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Gross Benefit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Run Cost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Net Cash Flow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Cumulative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PV @ 8%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Cum. PV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Y1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$27.72M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-$27,720,000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-$27.72M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-$25,666,667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-$25.67M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Y2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$41.58M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$6.80M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-$34,780,000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-$62.50M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-$29,818,244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-$55.48M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Y3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$29.70M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$14.96M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-$14,740,000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-$77.24M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-$11,701,087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-$67.19M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Y4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$23.12M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+$13,620,000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-$63.62M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+$10,011,107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-$57.17M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Y5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$27.20M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+$17,700,000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-$45.92M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+$12,046,323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-$45.13M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Y6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$27.20M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+$17,700,000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-$28.22M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+$11,154,002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-$33.97M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Y7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$27.20M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+$17,700,000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-$10.52M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+$10,327,780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-$23.65M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Y8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$27.20M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+$17,700,000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+$7.18M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+$9,562,759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-$14.08M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Y9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$27.20M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+$17,700,000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+$24.88M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+$8,854,407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-$5.23M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Y10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$27.20M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$9.50M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+$17,700,000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+$42.58M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+$8,198,525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</w:tr>
      <w:tr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NPV</w:t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</w:p>
        </w:tc>
        <w:tc>
          <w:tcPr>
            <w:tcW w:type="dxa" w:w="120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+$2,968,904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/>
              <w:t xml:space="preserve"> </w:t>
            </w:r>
            <w:r>
              <w:rPr>
                <w:b/>
              </w:rPr>
              <w:t>Reading the payback three ways.</w:t>
            </w:r>
            <w:r>
              <w:rPr/>
              <w:t xml:space="preserve"> Because most of the cost is front-loaded and benefits ramp, payback depends on the reference point: </w:t>
            </w:r>
            <w:r>
              <w:rPr/>
              <w:t xml:space="preserve"> </w:t>
            </w:r>
            <w:r>
              <w:rPr>
                <w:b/>
              </w:rPr>
              <w:t>Simple payback (from program start): ~7.6 years</w:t>
            </w:r>
            <w:r>
              <w:rPr/>
              <w:t xml:space="preserve"> — cumulative undiscounted cash flow turns positive during Year 8.</w:t>
            </w:r>
            <w:r>
              <w:rPr/>
              <w:t xml:space="preserve"> </w:t>
            </w:r>
            <w:r>
              <w:rPr>
                <w:b/>
              </w:rPr>
              <w:t>Discounted payback (from program start): ~9.6 years</w:t>
            </w:r>
            <w:r>
              <w:rPr/>
              <w:t xml:space="preserve"> — cumulative present value turns positive in Year 10, within the evaluation window.</w:t>
            </w:r>
            <w:r>
              <w:rPr/>
              <w:t xml:space="preserve"> </w:t>
            </w:r>
            <w:r>
              <w:rPr>
                <w:b/>
              </w:rPr>
              <w:t>Operational payback (from steady-state operations, after the 3-year build): ~4.6 years</w:t>
            </w:r>
            <w:r>
              <w:rPr/>
              <w:t xml:space="preserve"> — run-state net cash flow recovers the accumulated build outlay within roughly four-and-a-half years of go-live.</w:t>
            </w:r>
            <w:r>
              <w:rPr/>
              <w:t xml:space="preserve"> </w:t>
            </w:r>
            <w:r>
              <w:rPr/>
              <w:t xml:space="preserve"> </w:t>
            </w:r>
          </w:p>
        </w:tc>
      </w:tr>
    </w:tbl>
    <w:p/>
    <w:p>
      <w:pPr>
        <w:pStyle w:val="Heading2"/>
      </w:pPr>
      <w:r>
        <w:rPr>
          <w:color w:val="1B3A6B"/>
        </w:rPr>
        <w:t>5 · Sensitivity Analysis</w:t>
      </w:r>
    </w:p>
    <w:p>
      <w:r>
        <w:rPr/>
        <w:t>NPV sensitivity to a ±20% swing in each key assumption, holding others at base case. Prior-auth volume and baseline cost are the dominant value drivers; delivery-schedule and incident risks are downside-only.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Assumption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Base Case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Downside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Base NPV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Upside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PA automation volume (annual requests)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800,000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-$8.4M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+$8.4M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Baseline PA processing cost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$30/req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-$6.2M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+$6.2M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Cloud/compute cost escalation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0.8%/yr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-$1.8M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Benefit-ramp delay (6 months per BRD)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On time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-$5.1M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Model incident (pause PA 3 months, Yr 2)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No incident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-$2.3M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Implication.</w:t>
            </w:r>
            <w:r>
              <w:rPr/>
              <w:t xml:space="preserve"> The case is most exposed to prior-auth volume/cost assumptions and to schedule slippage. A single 6-month ramp delay per BRD (-$5.1M) is enough to push NPV negative — which is why benefit-realization tracking and the FinOps compute controls are treated as conditions of approval, not optional.</w:t>
            </w:r>
          </w:p>
        </w:tc>
      </w:tr>
    </w:tbl>
    <w:p/>
    <w:p>
      <w:pPr>
        <w:pStyle w:val="Heading2"/>
      </w:pPr>
      <w:r>
        <w:rPr>
          <w:color w:val="1B3A6B"/>
        </w:rPr>
        <w:t>6 · Scenario Analysis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Assumptions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10-Yr NPV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Payback (simple)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Conservative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Benefits -20%, one 6-month ramp delay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~-$6M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&gt; 10 years (Year 11)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Base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Modeled assumptions as above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+$2.97M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~7.6 years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Optimistic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Benefits +20%, on-time ramp, lower compute escalation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~+$12M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~6 years</w:t>
            </w:r>
          </w:p>
        </w:tc>
      </w:tr>
    </w:tbl>
    <w:p/>
    <w:p>
      <w:r>
        <w:rPr/>
        <w:t>The spread is deliberately wide: this is a program whose return is earned through execution discipline. The base case is defensible; the conservative case is a genuine downside that governance is designed to prevent.</w:t>
      </w:r>
    </w:p>
    <w:p>
      <w:pPr>
        <w:pStyle w:val="Heading2"/>
      </w:pPr>
      <w:r>
        <w:rPr>
          <w:color w:val="1B3A6B"/>
        </w:rPr>
        <w:t>7 · Indirect &amp; Qualitative Benefits</w:t>
      </w:r>
    </w:p>
    <w:p>
      <w:r>
        <w:rPr/>
        <w:t>Not monetized in the model above, but material to the decision:</w:t>
      </w:r>
    </w:p>
    <w:p>
      <w:pPr>
        <w:pStyle w:val="ListBullet"/>
      </w:pPr>
      <w:r>
        <w:rPr>
          <w:b/>
        </w:rPr>
        <w:t>Regulatory posture</w:t>
      </w:r>
      <w:r>
        <w:rPr/>
        <w:t xml:space="preserve"> — a governed AI capability positions ACME ahead of tightening AI-in-insurance oversight (NAIC, state laws) and supports the separate CMS-0057-F compliance effort.</w:t>
      </w:r>
    </w:p>
    <w:p>
      <w:pPr>
        <w:pStyle w:val="ListBullet"/>
      </w:pPr>
      <w:r>
        <w:rPr>
          <w:b/>
        </w:rPr>
        <w:t>Reusable platform &amp; CoE</w:t>
      </w:r>
      <w:r>
        <w:rPr/>
        <w:t xml:space="preserve"> — the Data &amp; Cloud AI Platform and Center of Excellence lower the cost of every future AI use case beyond the three in scope.</w:t>
      </w:r>
    </w:p>
    <w:p>
      <w:pPr>
        <w:pStyle w:val="ListBullet"/>
      </w:pPr>
      <w:r>
        <w:rPr>
          <w:b/>
        </w:rPr>
        <w:t>Member &amp; provider experience</w:t>
      </w:r>
      <w:r>
        <w:rPr/>
        <w:t xml:space="preserve"> — faster prior-auth decisions and better self-service improve satisfaction and retention, with second-order revenue effects excluded from the model.</w:t>
      </w:r>
    </w:p>
    <w:p>
      <w:pPr>
        <w:pStyle w:val="ListBullet"/>
      </w:pPr>
      <w:r>
        <w:rPr>
          <w:b/>
        </w:rPr>
        <w:t>Talent &amp; capability</w:t>
      </w:r>
      <w:r>
        <w:rPr/>
        <w:t xml:space="preserve"> — the program builds durable in-house AI/MLOps capability that outlasts the engagement.</w:t>
      </w:r>
    </w:p>
    <w:p>
      <w:pPr>
        <w:pStyle w:val="Heading2"/>
      </w:pPr>
      <w:r>
        <w:rPr>
          <w:color w:val="1B3A6B"/>
        </w:rPr>
        <w:t>8 · Risks to Benefit Realization</w:t>
      </w:r>
    </w:p>
    <w:p>
      <w:r>
        <w:rPr/>
        <w:t xml:space="preserve">The benefit case is directly exposed to the program's anticipated risks — each has a mitigation owner on the </w:t>
      </w:r>
      <w:r>
        <w:rPr>
          <w:color w:val="2B5C8A"/>
        </w:rPr>
        <w:t>RAIDD Log</w:t>
      </w:r>
      <w:r>
        <w:rPr/>
        <w:t>:</w:t>
      </w:r>
    </w:p>
    <w:p>
      <w:pPr>
        <w:pStyle w:val="ListBullet"/>
      </w:pPr>
      <w:r>
        <w:rPr>
          <w:b/>
        </w:rPr>
        <w:t>Data quality (RSK-01)</w:t>
      </w:r>
      <w:r>
        <w:rPr/>
        <w:t xml:space="preserve"> — poor legacy claims data delays PA automation, the largest benefit stream.</w:t>
      </w:r>
    </w:p>
    <w:p>
      <w:pPr>
        <w:pStyle w:val="ListBullet"/>
      </w:pPr>
      <w:r>
        <w:rPr>
          <w:b/>
        </w:rPr>
        <w:t>Compute cost (RSK-02)</w:t>
      </w:r>
      <w:r>
        <w:rPr/>
        <w:t xml:space="preserve"> — unmanaged GenAI spend erodes net benefit; FinOps guardrails protect the run-state cost line.</w:t>
      </w:r>
    </w:p>
    <w:p>
      <w:pPr>
        <w:pStyle w:val="ListBullet"/>
      </w:pPr>
      <w:r>
        <w:rPr>
          <w:b/>
        </w:rPr>
        <w:t>Adoption (RSK-07)</w:t>
      </w:r>
      <w:r>
        <w:rPr/>
        <w:t xml:space="preserve"> — deflection and productivity benefits depend on frontline adoption; phased rollout protects them.</w:t>
      </w:r>
    </w:p>
    <w:p>
      <w:pPr>
        <w:pStyle w:val="ListBullet"/>
      </w:pPr>
      <w:r>
        <w:rPr>
          <w:b/>
        </w:rPr>
        <w:t>Model incident (RSK-03)</w:t>
      </w:r>
      <w:r>
        <w:rPr/>
        <w:t xml:space="preserve"> — a member-facing incident forcing a pause directly reduces realized benefit (see sensitivity).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Bottom line.</w:t>
            </w:r>
            <w:r>
              <w:rPr/>
              <w:t xml:space="preserve"> On conservative assumptions Project Catalyst clears its cost of capital with a positive NPV and an 8.94% IRR, and builds a reusable AI platform, governance capability, and regulatory posture that the numbers above do not fully capture. The recommendation is to proceed, conditioned on disciplined benefit tracking and the compute-cost and adoption controls that the sensitivity analysis shows the case depends on.</w:t>
            </w:r>
          </w:p>
        </w:tc>
      </w:tr>
    </w:tbl>
    <w:p/>
    <w:p>
      <w:pPr>
        <w:pStyle w:val="Heading2"/>
      </w:pPr>
      <w:r>
        <w:rPr>
          <w:color w:val="1B3A6B"/>
        </w:rPr>
        <w:t>Read Alongside</w:t>
      </w:r>
    </w:p>
    <w:p>
      <w:r>
        <w:rPr/>
        <w:t xml:space="preserve">This analysis pairs with the </w:t>
      </w:r>
      <w:r>
        <w:rPr>
          <w:color w:val="2B5C8A"/>
        </w:rPr>
        <w:t>Total Cost of Ownership</w:t>
      </w:r>
      <w:r>
        <w:rPr/>
        <w:t xml:space="preserve"> (10-year run-and-maintain view), the </w:t>
      </w:r>
      <w:r>
        <w:rPr>
          <w:color w:val="2B5C8A"/>
        </w:rPr>
        <w:t>Program Budget</w:t>
      </w:r>
      <w:r>
        <w:rPr/>
        <w:t xml:space="preserve"> (baseline detail), and the </w:t>
      </w:r>
      <w:r>
        <w:rPr>
          <w:color w:val="2B5C8A"/>
        </w:rPr>
        <w:t>Program Charter</w:t>
      </w:r>
      <w:r>
        <w:rPr/>
        <w:t xml:space="preserve"> §2.3 financial summary.</w:t>
      </w:r>
    </w:p>
    <w:p>
      <w:pPr>
        <w:spacing w:before="280"/>
      </w:pPr>
      <w:r>
        <w:rPr>
          <w:i/>
          <w:color w:val="5B6472"/>
          <w:sz w:val="16"/>
        </w:rPr>
        <w:t>Illustrative program data for a fictional engagement (ACME Highland Health / Pulaski Advisory Group), created to demonstrate program-management practice. Financial figures are modeled and reconcile to the $99.0M program investment, the three annual SOW envelopes, and the TCO model; NPV (+$2,968,904), IRR (8.94%), and payback are computed from the cash-flow model shown. Not actual financial records. Cross-references: Total Cost of Ownership · Program Budget · Program Charter.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