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8"/>
        </w:rPr>
        <w:t>Program Charter — Project Catalyst</w:t>
      </w:r>
    </w:p>
    <w:p>
      <w:r>
        <w:rPr>
          <w:color w:val="646464"/>
          <w:sz w:val="22"/>
        </w:rPr>
        <w:t>Authorizing Document</w:t>
      </w:r>
    </w:p>
    <w:p/>
    <w:p>
      <w:r>
        <w:rPr>
          <w:color w:val="5B6472"/>
        </w:rPr>
        <w:t>This Charter formally authorizes the existence ofProject Catalystand grants the Program Director authority to apply organizational resources to program activities. It is the single highest-authority document in the program — all other program artifacts (PMP, Governance Model, BRDs, SOWs, RAIDD Log) derive their authority from this Charter and must be consistent with it. Approved by Executive Sponsor M. Kavanagh (ACME COO) on August 3, 2026. Updates require formal change control with Executive Steering Board approval.</w:t>
      </w:r>
    </w:p>
    <w:p/>
    <w:p>
      <w:r>
        <w:rPr>
          <w:b/>
          <w:color w:val="1B3A6B"/>
          <w:sz w:val="28"/>
        </w:rPr>
        <w:t>Part I — Authorization &amp; Strategic Context</w:t>
      </w:r>
    </w:p>
    <w:p>
      <w:pPr>
        <w:pStyle w:val="Heading2"/>
      </w:pPr>
      <w:r>
        <w:t>1. Charter Authorization &amp; Document Purpose</w:t>
      </w:r>
    </w:p>
    <w:p>
      <w:r>
        <w:t>This Charter formally authorizesProject Catalyst, a $99,000,000, 36.5-month AI Transformation Program at ACME Highland Health. It grants C. Tyrrell (Program Director, Pulaski Advisory Group) the authority to apply organizational resources — budget, personnel, vendor contracts, and infrastructure — to program activities within the parameters defined herein.</w:t>
      </w:r>
    </w:p>
    <w:p>
      <w:pPr>
        <w:pStyle w:val="Heading3"/>
      </w:pPr>
      <w:r>
        <w:t>1.1 What This Charter Authorizes</w:t>
      </w:r>
    </w:p>
    <w:p>
      <w:pPr>
        <w:pStyle w:val="ListBullet"/>
      </w:pPr>
      <w:r>
        <w:t>Expenditure of up to $99,000,000 across three Statements of Work (SOW-01, SOW-02, SOW-03) over 36.5 months</w:t>
      </w:r>
    </w:p>
    <w:p>
      <w:pPr>
        <w:pStyle w:val="ListBullet"/>
      </w:pPr>
      <w:r>
        <w:t>Mobilization of up to 262 people across 25 functional teams (staffing ramps by phase; not concurrent)</w:t>
      </w:r>
    </w:p>
    <w:p>
      <w:pPr>
        <w:pStyle w:val="ListBullet"/>
      </w:pPr>
      <w:r>
        <w:t>Execution of three AI capability deployments (BRD-01, BRD-02, BRD-03) plus two cross-cutting workstreams</w:t>
      </w:r>
    </w:p>
    <w:p>
      <w:pPr>
        <w:pStyle w:val="ListBullet"/>
      </w:pPr>
      <w:r>
        <w:t>Establishment of an AI Governance &amp; Center of Excellence with enterprise-wide governance authority over AI model risk</w:t>
      </w:r>
    </w:p>
    <w:p>
      <w:pPr>
        <w:pStyle w:val="ListBullet"/>
      </w:pPr>
      <w:r>
        <w:t>Engagement with external vendors (hyperscaler cloud providers, LLM/AI model providers, SaaS tooling vendors) through procurement processes defined in theProgram Management Plan</w:t>
      </w:r>
    </w:p>
    <w:p>
      <w:pPr>
        <w:pStyle w:val="Heading3"/>
      </w:pPr>
      <w:r>
        <w:t>1.2 What This Charter Does Not Authorize</w:t>
      </w:r>
    </w:p>
    <w:p>
      <w:pPr>
        <w:pStyle w:val="ListBullet"/>
      </w:pPr>
      <w:r>
        <w:t>This Charter does not authorize ACME's baseline CMS-0057-F compliance project, which is a separate initiative with its own charter, budget, and timeline. BRD-01 builds on top of baseline compliance infrastructure; it does not replace it.</w:t>
      </w:r>
    </w:p>
    <w:p>
      <w:pPr>
        <w:pStyle w:val="ListBullet"/>
      </w:pPr>
      <w:r>
        <w:t>This Charter does not authorize changes to ACME's corporate organizational structure. The AI Governance &amp; CoE operates as a program function during the 36.5-month lifecycle; its transition to permanent ACME operations is a closeout deliverable, not a charter commitment.</w:t>
      </w:r>
    </w:p>
    <w:p>
      <w:pPr>
        <w:pStyle w:val="ListBullet"/>
      </w:pPr>
      <w:r>
        <w:t>This Charter does not authorize expenditure beyond $99,000,000 without ACME Board-level approval.</w:t>
      </w:r>
    </w:p>
    <w:p>
      <w:pPr>
        <w:pStyle w:val="Heading3"/>
      </w:pPr>
      <w:r>
        <w:t>1.3 Charter Authority Hierarchy</w:t>
      </w:r>
    </w:p>
    <w:p>
      <w:r>
        <w:t>This Charter is the highest-authority program document. In the event of conflict between this Charter and any subsidiary document (PMP, Governance Model, BRDs, SOWs), this Charter prevails until both documents are reconciled through formal change control. The hierarchy:</w:t>
      </w:r>
    </w:p>
    <w:p>
      <w:pPr>
        <w:pStyle w:val="ListNumber"/>
      </w:pPr>
      <w:r>
        <w:t>Program Charter(this document) — authorizes the program</w:t>
      </w:r>
    </w:p>
    <w:p>
      <w:pPr>
        <w:pStyle w:val="ListNumber"/>
      </w:pPr>
      <w:r>
        <w:t>Program Governance Model— defines how decisions are made within the authority granted by this Charter</w:t>
      </w:r>
    </w:p>
    <w:p>
      <w:pPr>
        <w:pStyle w:val="ListNumber"/>
      </w:pPr>
      <w:r>
        <w:t>Program Management Plan— defines how the program is executed within the governance framework</w:t>
      </w:r>
    </w:p>
    <w:p>
      <w:pPr>
        <w:pStyle w:val="ListNumber"/>
      </w:pPr>
      <w:r>
        <w:t>Statements of Work (SOW-01, SOW-02, SOW-03)— contractual scope and fee schedules with Pulaski Advisory Group</w:t>
      </w:r>
    </w:p>
    <w:p>
      <w:pPr>
        <w:pStyle w:val="ListNumber"/>
      </w:pPr>
      <w:r>
        <w:t>Business Requirements Documents (BRD-01, BRD-02, BRD-03)— detailed specifications for each delivery workstream</w:t>
      </w:r>
    </w:p>
    <w:p>
      <w:pPr>
        <w:pStyle w:val="ListNumber"/>
      </w:pPr>
      <w:r>
        <w:t>All other program artifacts— derive authority from the documents above</w:t>
      </w:r>
    </w:p>
    <w:p>
      <w:pPr>
        <w:pStyle w:val="Heading2"/>
      </w:pPr>
      <w:r>
        <w:t>2. Strategic Business Case &amp; Market Context</w:t>
      </w:r>
    </w:p>
    <w:p>
      <w:pPr>
        <w:pStyle w:val="Heading3"/>
      </w:pPr>
      <w:r>
        <w:t>2.1 The Competitive &amp; Regulatory Moment</w:t>
      </w:r>
    </w:p>
    <w:p>
      <w:r>
        <w:t>ACME Highland Health is a national health insurer with approximately 4 million members, operating in a market where AI deployment is no longer a strategic option — it is a competitive requirement. The business case for Project Catalyst rests on two converging forces that make the program both necessary and time-bound:</w:t>
      </w:r>
    </w:p>
    <w:p>
      <w:pPr>
        <w:pStyle w:val="Heading4"/>
      </w:pPr>
      <w:r>
        <w:t>Regulatory Driver: CMS-0057-F</w:t>
      </w:r>
    </w:p>
    <w:p>
      <w:r>
        <w:t>The CMS Interoperability and Prior Authorization Final Rule (CMS-0057-F) mandates that impacted payers implement FHIR-based Prior Authorization APIs by January 1, 2027, deliver PA decisions within 72 hours (urgent) / 7 calendar days (standard) effective January 1, 2026, and publicly report PA metrics including approval rate, denial rate, and average decision time. ACME's current manual PA process frequently exceeds these decision windows (average 9.3 calendar days for standard PAs; 12% of urgent PAs exceed 72 hours). While ACME's separate baseline compliance project handles minimum API and reporting requirements, Project Catalyst authorizes the larger, durable capability: production AI at scale that processes PA requests within the compliant infrastructure with the speed, consistency, and transparency the regulation demands.</w:t>
      </w:r>
    </w:p>
    <w:p>
      <w:pPr>
        <w:pStyle w:val="Heading4"/>
      </w:pPr>
      <w:r>
        <w:t>Competitive Driver: Market AI Adoption</w:t>
      </w:r>
    </w:p>
    <w:p>
      <w:r>
        <w:t>ACME's primary competitors are already deploying production AI across claims, prior authorization, and member engagement:</w:t>
      </w:r>
    </w:p>
    <w:p>
      <w:pPr>
        <w:pStyle w:val="ListBullet"/>
      </w:pPr>
      <w:r>
        <w:t>UnitedHealth Group:Invested $3.5B+ in AI/technology platforms through Optum; deployed AI-assisted prior authorization and claims processing at scale. Reduced PA turnaround to under 24 hours for standard requests.</w:t>
      </w:r>
    </w:p>
    <w:p>
      <w:pPr>
        <w:pStyle w:val="ListBullet"/>
      </w:pPr>
      <w:r>
        <w:t>Humana:Deployed conversational AI for member engagement; AI-assisted clinical decision support integrated into care management workflows.</w:t>
      </w:r>
    </w:p>
    <w:p>
      <w:pPr>
        <w:pStyle w:val="ListBullet"/>
      </w:pPr>
      <w:r>
        <w:t>Oscar Health:Built-from-scratch technology-first insurer; AI-driven member experience and claims processing from inception.</w:t>
      </w:r>
    </w:p>
    <w:p>
      <w:r>
        <w:t>ACME's competitive position erodes with every quarter of delayed AI deployment. Members, employers, and brokers increasingly compare payer performance on digital experience, decision speed, and transparency — all areas where AI provides measurable advantage. Waiting is unviable.</w:t>
      </w:r>
    </w:p>
    <w:p>
      <w:pPr>
        <w:pStyle w:val="Heading3"/>
      </w:pPr>
      <w:r>
        <w:t>2.2 The Governance-First Strategy</w:t>
      </w:r>
    </w:p>
    <w:p>
      <w:r>
        <w:t>The industry norm for AI deployment is "move fast, add governance later." The results are visible: hallucination incidents (Moffatt v. Air Canada, 2024), regulatory scrutiny of AI-generated claim denials (multiple state investigations, 2024–2026), and reputational damage from bias in underwriting models. Project Catalyst takes the opposite approach:stand up governance before any model hits production. The AI Governance &amp; Center of Excellence, the Independent Model Validation function, and the three-board governance structure are all established during Phase 0 — before BRD-01 begins development. This approach is slower to first delivery than ungoverned AI deployment, but it produces AI systems that are defensible when (not if) regulators, courts, or media scrutinize them.</w:t>
      </w:r>
    </w:p>
    <w:p>
      <w:pPr>
        <w:pStyle w:val="Heading3"/>
      </w:pPr>
      <w:r>
        <w:t>2.3 Financial Summary</w:t>
      </w:r>
    </w:p>
    <w:p>
      <w:r>
        <w:t>The program's financial case is documented in detail in theCost-Benefit AnalysisandTotal Cost of Ownership. Summary:</w:t>
      </w:r>
    </w:p>
    <w:tbl>
      <w:tblPr>
        <w:tblStyle w:val="TableGrid"/>
        <w:tblW w:type="auto" w:w="0"/>
        <w:tblLook w:firstColumn="1" w:firstRow="1" w:lastColumn="0" w:lastRow="0" w:noHBand="0" w:noVBand="1" w:val="04A0"/>
      </w:tblPr>
      <w:tblGrid>
        <w:gridCol w:w="4320"/>
        <w:gridCol w:w="4320"/>
      </w:tblGrid>
      <w:tr>
        <w:tc>
          <w:tcPr>
            <w:tcW w:type="dxa" w:w="4320"/>
          </w:tcPr>
          <w:p>
            <w:r>
              <w:t>Metric</w:t>
            </w:r>
          </w:p>
        </w:tc>
        <w:tc>
          <w:tcPr>
            <w:tcW w:type="dxa" w:w="4320"/>
          </w:tcPr>
          <w:p>
            <w:r>
              <w:t>Value</w:t>
            </w:r>
          </w:p>
        </w:tc>
      </w:tr>
      <w:tr>
        <w:tc>
          <w:tcPr>
            <w:tcW w:type="dxa" w:w="4320"/>
          </w:tcPr>
          <w:p>
            <w:r>
              <w:t>Total Program Investment</w:t>
            </w:r>
          </w:p>
        </w:tc>
        <w:tc>
          <w:tcPr>
            <w:tcW w:type="dxa" w:w="4320"/>
          </w:tcPr>
          <w:p>
            <w:r>
              <w:t>$99,000,000</w:t>
            </w:r>
          </w:p>
        </w:tc>
      </w:tr>
      <w:tr>
        <w:tc>
          <w:tcPr>
            <w:tcW w:type="dxa" w:w="4320"/>
          </w:tcPr>
          <w:p>
            <w:r>
              <w:t>Projected Annual Benefits (Year 5, steady state)</w:t>
            </w:r>
          </w:p>
        </w:tc>
        <w:tc>
          <w:tcPr>
            <w:tcW w:type="dxa" w:w="4320"/>
          </w:tcPr>
          <w:p>
            <w:r>
              <w:t>$27,200,000</w:t>
            </w:r>
          </w:p>
        </w:tc>
      </w:tr>
      <w:tr>
        <w:tc>
          <w:tcPr>
            <w:tcW w:type="dxa" w:w="4320"/>
          </w:tcPr>
          <w:p>
            <w:r>
              <w:t>Net Present Value (10-year, 8% discount)</w:t>
            </w:r>
          </w:p>
        </w:tc>
        <w:tc>
          <w:tcPr>
            <w:tcW w:type="dxa" w:w="4320"/>
          </w:tcPr>
          <w:p>
            <w:r>
              <w:t>+$2,968,904</w:t>
            </w:r>
          </w:p>
        </w:tc>
      </w:tr>
      <w:tr>
        <w:tc>
          <w:tcPr>
            <w:tcW w:type="dxa" w:w="4320"/>
          </w:tcPr>
          <w:p>
            <w:r>
              <w:t>Payback Period</w:t>
            </w:r>
          </w:p>
        </w:tc>
        <w:tc>
          <w:tcPr>
            <w:tcW w:type="dxa" w:w="4320"/>
          </w:tcPr>
          <w:p>
            <w:r>
              <w:t>~7.6 yrs (simple) · ~4.6 yrs from steady-state ops</w:t>
            </w:r>
          </w:p>
        </w:tc>
      </w:tr>
      <w:tr>
        <w:tc>
          <w:tcPr>
            <w:tcW w:type="dxa" w:w="4320"/>
          </w:tcPr>
          <w:p>
            <w:r>
              <w:t>10-Year Total Cost of Ownership (Option A, unified)</w:t>
            </w:r>
          </w:p>
        </w:tc>
        <w:tc>
          <w:tcPr>
            <w:tcW w:type="dxa" w:w="4320"/>
          </w:tcPr>
          <w:p>
            <w:r>
              <w:t>$196,400,000</w:t>
            </w:r>
          </w:p>
        </w:tc>
      </w:tr>
    </w:tbl>
    <w:p/>
    <w:p>
      <w:pPr>
        <w:pStyle w:val="Heading2"/>
      </w:pPr>
      <w:r>
        <w:t>3. Program Vision &amp; Value Proposition</w:t>
      </w:r>
    </w:p>
    <w:p>
      <w:pPr>
        <w:pStyle w:val="Heading3"/>
      </w:pPr>
      <w:r>
        <w:t>3.1 Vision Statement</w:t>
      </w:r>
    </w:p>
    <w:p>
      <w:r>
        <w:t>Project Catalyst will establish ACME Highland Health as a governance-first AI leader in health insurance— deploying production AI capabilities across claims processing, member engagement, and underwriting that are accurate, fair, explainable, and defensible, while transitioning AI governance from a program function to a permanent organizational capability.</w:t>
      </w:r>
    </w:p>
    <w:p>
      <w:pPr>
        <w:pStyle w:val="Heading3"/>
      </w:pPr>
      <w:r>
        <w:t>3.2 Value Proposition</w:t>
      </w:r>
    </w:p>
    <w:p>
      <w:r>
        <w:t>The program delivers value across four dimensions:</w:t>
      </w:r>
    </w:p>
    <w:p>
      <w:pPr>
        <w:pStyle w:val="ListBullet"/>
      </w:pPr>
      <w:r>
        <w:t>Operational efficiency:PA cycle time reduced from 9.3 days to ≤3 days (standard); call-center handle time reduced 30%; underwriting cycle time reduced from 14–21 days to 7–10 days (large group). These are measurable, auditable outcomes tracked against Phase 0 baselines.</w:t>
      </w:r>
    </w:p>
    <w:p>
      <w:pPr>
        <w:pStyle w:val="ListBullet"/>
      </w:pPr>
      <w:r>
        <w:t>Risk reduction:AI governance framework, independent model validation, and fairness testing reduce regulatory risk, legal liability, and reputational exposure. The cost of not governing AI (regulatory fines, litigation, member trust erosion) exceeds the cost of governing it.</w:t>
      </w:r>
    </w:p>
    <w:p>
      <w:pPr>
        <w:pStyle w:val="ListBullet"/>
      </w:pPr>
      <w:r>
        <w:t>Competitive positioning:ACME moves from lagging to leading on AI deployment among national health insurers. Speed-to-decision, digital member experience, and underwriting accuracy become competitive advantages, not liabilities.</w:t>
      </w:r>
    </w:p>
    <w:p>
      <w:pPr>
        <w:pStyle w:val="ListBullet"/>
      </w:pPr>
      <w:r>
        <w:t>Organizational capability:At closeout, ACME has a permanent AI Governance &amp; CoE function, trained internal teams, and operational AI systems — not a dependency on consulting partners. The program builds the muscle, not just the product.</w:t>
      </w:r>
    </w:p>
    <w:p/>
    <w:p>
      <w:r>
        <w:rPr>
          <w:b/>
          <w:color w:val="1B3A6B"/>
          <w:sz w:val="28"/>
        </w:rPr>
        <w:t>Part II — Program Definition</w:t>
      </w:r>
    </w:p>
    <w:p>
      <w:pPr>
        <w:pStyle w:val="Heading2"/>
      </w:pPr>
      <w:r>
        <w:t>4. Program Objectives &amp; Success Criteria</w:t>
      </w:r>
    </w:p>
    <w:p>
      <w:r>
        <w:t>Program objectives are defined using SMART criteria (Specific, Measurable, Achievable, Relevant, Time-bound). Each objective has a named measurement owner, a baseline established during Phase 0, and a target verified at program closeout.</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w:t>
            </w:r>
          </w:p>
        </w:tc>
        <w:tc>
          <w:tcPr>
            <w:tcW w:type="dxa" w:w="1440"/>
          </w:tcPr>
          <w:p>
            <w:r>
              <w:t>Objective</w:t>
            </w:r>
          </w:p>
        </w:tc>
        <w:tc>
          <w:tcPr>
            <w:tcW w:type="dxa" w:w="1440"/>
          </w:tcPr>
          <w:p>
            <w:r>
              <w:t>Metric</w:t>
            </w:r>
          </w:p>
        </w:tc>
        <w:tc>
          <w:tcPr>
            <w:tcW w:type="dxa" w:w="1440"/>
          </w:tcPr>
          <w:p>
            <w:r>
              <w:t>Target</w:t>
            </w:r>
          </w:p>
        </w:tc>
        <w:tc>
          <w:tcPr>
            <w:tcW w:type="dxa" w:w="1440"/>
          </w:tcPr>
          <w:p>
            <w:r>
              <w:t>Measurement Owner</w:t>
            </w:r>
          </w:p>
        </w:tc>
        <w:tc>
          <w:tcPr>
            <w:tcW w:type="dxa" w:w="1440"/>
          </w:tcPr>
          <w:p>
            <w:r>
              <w:t>Verification Point</w:t>
            </w:r>
          </w:p>
        </w:tc>
      </w:tr>
      <w:tr>
        <w:tc>
          <w:tcPr>
            <w:tcW w:type="dxa" w:w="1440"/>
          </w:tcPr>
          <w:p>
            <w:r>
              <w:t>O-1</w:t>
            </w:r>
          </w:p>
        </w:tc>
        <w:tc>
          <w:tcPr>
            <w:tcW w:type="dxa" w:w="1440"/>
          </w:tcPr>
          <w:p>
            <w:r>
              <w:t>Governance excellence</w:t>
            </w:r>
          </w:p>
        </w:tc>
        <w:tc>
          <w:tcPr>
            <w:tcW w:type="dxa" w:w="1440"/>
          </w:tcPr>
          <w:p>
            <w:r>
              <w:t>Critical/High security findings per production release</w:t>
            </w:r>
          </w:p>
        </w:tc>
        <w:tc>
          <w:tcPr>
            <w:tcW w:type="dxa" w:w="1440"/>
          </w:tcPr>
          <w:p>
            <w:r>
              <w:t>Zero from first release onward</w:t>
            </w:r>
          </w:p>
        </w:tc>
        <w:tc>
          <w:tcPr>
            <w:tcW w:type="dxa" w:w="1440"/>
          </w:tcPr>
          <w:p>
            <w:r>
              <w:t>M. Hassan (CISO)</w:t>
            </w:r>
          </w:p>
        </w:tc>
        <w:tc>
          <w:tcPr>
            <w:tcW w:type="dxa" w:w="1440"/>
          </w:tcPr>
          <w:p>
            <w:r>
              <w:t>Each production release</w:t>
            </w:r>
          </w:p>
        </w:tc>
      </w:tr>
      <w:tr>
        <w:tc>
          <w:tcPr>
            <w:tcW w:type="dxa" w:w="1440"/>
          </w:tcPr>
          <w:p>
            <w:r>
              <w:t>O-2</w:t>
            </w:r>
          </w:p>
        </w:tc>
        <w:tc>
          <w:tcPr>
            <w:tcW w:type="dxa" w:w="1440"/>
          </w:tcPr>
          <w:p>
            <w:r>
              <w:t>Model quality</w:t>
            </w:r>
          </w:p>
        </w:tc>
        <w:tc>
          <w:tcPr>
            <w:tcW w:type="dxa" w:w="1440"/>
          </w:tcPr>
          <w:p>
            <w:r>
              <w:t>Independent Model Validation sign-off rate</w:t>
            </w:r>
          </w:p>
        </w:tc>
        <w:tc>
          <w:tcPr>
            <w:tcW w:type="dxa" w:w="1440"/>
          </w:tcPr>
          <w:p>
            <w:r>
              <w:t>100% of models validated before production</w:t>
            </w:r>
          </w:p>
        </w:tc>
        <w:tc>
          <w:tcPr>
            <w:tcW w:type="dxa" w:w="1440"/>
          </w:tcPr>
          <w:p>
            <w:r>
              <w:t>P. Okafor (Validation Lead)</w:t>
            </w:r>
          </w:p>
        </w:tc>
        <w:tc>
          <w:tcPr>
            <w:tcW w:type="dxa" w:w="1440"/>
          </w:tcPr>
          <w:p>
            <w:r>
              <w:t>Each model release</w:t>
            </w:r>
          </w:p>
        </w:tc>
      </w:tr>
      <w:tr>
        <w:tc>
          <w:tcPr>
            <w:tcW w:type="dxa" w:w="1440"/>
          </w:tcPr>
          <w:p>
            <w:r>
              <w:t>O-3</w:t>
            </w:r>
          </w:p>
        </w:tc>
        <w:tc>
          <w:tcPr>
            <w:tcW w:type="dxa" w:w="1440"/>
          </w:tcPr>
          <w:p>
            <w:r>
              <w:t>Fairness</w:t>
            </w:r>
          </w:p>
        </w:tc>
        <w:tc>
          <w:tcPr>
            <w:tcW w:type="dxa" w:w="1440"/>
          </w:tcPr>
          <w:p>
            <w:r>
              <w:t>Demographic disparate-impact deviation</w:t>
            </w:r>
          </w:p>
        </w:tc>
        <w:tc>
          <w:tcPr>
            <w:tcW w:type="dxa" w:w="1440"/>
          </w:tcPr>
          <w:p>
            <w:r>
              <w:t>≤ 5% (BRD-01/02), ≤ 3% (BRD-03)</w:t>
            </w:r>
          </w:p>
        </w:tc>
        <w:tc>
          <w:tcPr>
            <w:tcW w:type="dxa" w:w="1440"/>
          </w:tcPr>
          <w:p>
            <w:r>
              <w:t>P. Okafor + S. Khurana</w:t>
            </w:r>
          </w:p>
        </w:tc>
        <w:tc>
          <w:tcPr>
            <w:tcW w:type="dxa" w:w="1440"/>
          </w:tcPr>
          <w:p>
            <w:r>
              <w:t>Pre-production + quarterly</w:t>
            </w:r>
          </w:p>
        </w:tc>
      </w:tr>
      <w:tr>
        <w:tc>
          <w:tcPr>
            <w:tcW w:type="dxa" w:w="1440"/>
          </w:tcPr>
          <w:p>
            <w:r>
              <w:t>O-4</w:t>
            </w:r>
          </w:p>
        </w:tc>
        <w:tc>
          <w:tcPr>
            <w:tcW w:type="dxa" w:w="1440"/>
          </w:tcPr>
          <w:p>
            <w:r>
              <w:t>PA cycle time</w:t>
            </w:r>
          </w:p>
        </w:tc>
        <w:tc>
          <w:tcPr>
            <w:tcW w:type="dxa" w:w="1440"/>
          </w:tcPr>
          <w:p>
            <w:r>
              <w:t>Average days from submission to determination</w:t>
            </w:r>
          </w:p>
        </w:tc>
        <w:tc>
          <w:tcPr>
            <w:tcW w:type="dxa" w:w="1440"/>
          </w:tcPr>
          <w:p>
            <w:r>
              <w:t>≤ 3 days standard; ≤ 24 hrs urgent</w:t>
            </w:r>
          </w:p>
        </w:tc>
        <w:tc>
          <w:tcPr>
            <w:tcW w:type="dxa" w:w="1440"/>
          </w:tcPr>
          <w:p>
            <w:r>
              <w:t>F. Bennett (BRD-01)</w:t>
            </w:r>
          </w:p>
        </w:tc>
        <w:tc>
          <w:tcPr>
            <w:tcW w:type="dxa" w:w="1440"/>
          </w:tcPr>
          <w:p>
            <w:r>
              <w:t>12 months post-production</w:t>
            </w:r>
          </w:p>
        </w:tc>
      </w:tr>
      <w:tr>
        <w:tc>
          <w:tcPr>
            <w:tcW w:type="dxa" w:w="1440"/>
          </w:tcPr>
          <w:p>
            <w:r>
              <w:t>O-5</w:t>
            </w:r>
          </w:p>
        </w:tc>
        <w:tc>
          <w:tcPr>
            <w:tcW w:type="dxa" w:w="1440"/>
          </w:tcPr>
          <w:p>
            <w:r>
              <w:t>Call-center efficiency</w:t>
            </w:r>
          </w:p>
        </w:tc>
        <w:tc>
          <w:tcPr>
            <w:tcW w:type="dxa" w:w="1440"/>
          </w:tcPr>
          <w:p>
            <w:r>
              <w:t>Average handle time (AHT)</w:t>
            </w:r>
          </w:p>
        </w:tc>
        <w:tc>
          <w:tcPr>
            <w:tcW w:type="dxa" w:w="1440"/>
          </w:tcPr>
          <w:p>
            <w:r>
              <w:t>30% reduction from baseline</w:t>
            </w:r>
          </w:p>
        </w:tc>
        <w:tc>
          <w:tcPr>
            <w:tcW w:type="dxa" w:w="1440"/>
          </w:tcPr>
          <w:p>
            <w:r>
              <w:t>X. Garcia (BRD-02)</w:t>
            </w:r>
          </w:p>
        </w:tc>
        <w:tc>
          <w:tcPr>
            <w:tcW w:type="dxa" w:w="1440"/>
          </w:tcPr>
          <w:p>
            <w:r>
              <w:t>12 months post-production</w:t>
            </w:r>
          </w:p>
        </w:tc>
      </w:tr>
      <w:tr>
        <w:tc>
          <w:tcPr>
            <w:tcW w:type="dxa" w:w="1440"/>
          </w:tcPr>
          <w:p>
            <w:r>
              <w:t>O-6</w:t>
            </w:r>
          </w:p>
        </w:tc>
        <w:tc>
          <w:tcPr>
            <w:tcW w:type="dxa" w:w="1440"/>
          </w:tcPr>
          <w:p>
            <w:r>
              <w:t>Underwriting consistency</w:t>
            </w:r>
          </w:p>
        </w:tc>
        <w:tc>
          <w:tcPr>
            <w:tcW w:type="dxa" w:w="1440"/>
          </w:tcPr>
          <w:p>
            <w:r>
              <w:t>Inter-actuarial agreement rate</w:t>
            </w:r>
          </w:p>
        </w:tc>
        <w:tc>
          <w:tcPr>
            <w:tcW w:type="dxa" w:w="1440"/>
          </w:tcPr>
          <w:p>
            <w:r>
              <w:t>≥ 93% (from ~82%)</w:t>
            </w:r>
          </w:p>
        </w:tc>
        <w:tc>
          <w:tcPr>
            <w:tcW w:type="dxa" w:w="1440"/>
          </w:tcPr>
          <w:p>
            <w:r>
              <w:t>Z. Thompson (BRD-03)</w:t>
            </w:r>
          </w:p>
        </w:tc>
        <w:tc>
          <w:tcPr>
            <w:tcW w:type="dxa" w:w="1440"/>
          </w:tcPr>
          <w:p>
            <w:r>
              <w:t>12 months post-production</w:t>
            </w:r>
          </w:p>
        </w:tc>
      </w:tr>
      <w:tr>
        <w:tc>
          <w:tcPr>
            <w:tcW w:type="dxa" w:w="1440"/>
          </w:tcPr>
          <w:p>
            <w:r>
              <w:t>O-7</w:t>
            </w:r>
          </w:p>
        </w:tc>
        <w:tc>
          <w:tcPr>
            <w:tcW w:type="dxa" w:w="1440"/>
          </w:tcPr>
          <w:p>
            <w:r>
              <w:t>Schedule adherence</w:t>
            </w:r>
          </w:p>
        </w:tc>
        <w:tc>
          <w:tcPr>
            <w:tcW w:type="dxa" w:w="1440"/>
          </w:tcPr>
          <w:p>
            <w:r>
              <w:t>All 3 BRDs to production by target date</w:t>
            </w:r>
          </w:p>
        </w:tc>
        <w:tc>
          <w:tcPr>
            <w:tcW w:type="dxa" w:w="1440"/>
          </w:tcPr>
          <w:p>
            <w:r>
              <w:t>BRD-01: Sep 2027, BRD-02: Sep 2028, BRD-03: Dec 2028</w:t>
            </w:r>
          </w:p>
        </w:tc>
        <w:tc>
          <w:tcPr>
            <w:tcW w:type="dxa" w:w="1440"/>
          </w:tcPr>
          <w:p>
            <w:r>
              <w:t>C. Tyrrell (Program Dir)</w:t>
            </w:r>
          </w:p>
        </w:tc>
        <w:tc>
          <w:tcPr>
            <w:tcW w:type="dxa" w:w="1440"/>
          </w:tcPr>
          <w:p>
            <w:r>
              <w:t>Phase 4 gates</w:t>
            </w:r>
          </w:p>
        </w:tc>
      </w:tr>
      <w:tr>
        <w:tc>
          <w:tcPr>
            <w:tcW w:type="dxa" w:w="1440"/>
          </w:tcPr>
          <w:p>
            <w:r>
              <w:t>O-8</w:t>
            </w:r>
          </w:p>
        </w:tc>
        <w:tc>
          <w:tcPr>
            <w:tcW w:type="dxa" w:w="1440"/>
          </w:tcPr>
          <w:p>
            <w:r>
              <w:t>Budget adherence</w:t>
            </w:r>
          </w:p>
        </w:tc>
        <w:tc>
          <w:tcPr>
            <w:tcW w:type="dxa" w:w="1440"/>
          </w:tcPr>
          <w:p>
            <w:r>
              <w:t>Total spend vs. $99M authorization</w:t>
            </w:r>
          </w:p>
        </w:tc>
        <w:tc>
          <w:tcPr>
            <w:tcW w:type="dxa" w:w="1440"/>
          </w:tcPr>
          <w:p>
            <w:r>
              <w:t>Within authorization; contingency used only through formal approval</w:t>
            </w:r>
          </w:p>
        </w:tc>
        <w:tc>
          <w:tcPr>
            <w:tcW w:type="dxa" w:w="1440"/>
          </w:tcPr>
          <w:p>
            <w:r>
              <w:t>A. Rodriguez (Finance)</w:t>
            </w:r>
          </w:p>
        </w:tc>
        <w:tc>
          <w:tcPr>
            <w:tcW w:type="dxa" w:w="1440"/>
          </w:tcPr>
          <w:p>
            <w:r>
              <w:t>Monthly tracking; closeout</w:t>
            </w:r>
          </w:p>
        </w:tc>
      </w:tr>
      <w:tr>
        <w:tc>
          <w:tcPr>
            <w:tcW w:type="dxa" w:w="1440"/>
          </w:tcPr>
          <w:p>
            <w:r>
              <w:t>O-9</w:t>
            </w:r>
          </w:p>
        </w:tc>
        <w:tc>
          <w:tcPr>
            <w:tcW w:type="dxa" w:w="1440"/>
          </w:tcPr>
          <w:p>
            <w:r>
              <w:t>Sustainability</w:t>
            </w:r>
          </w:p>
        </w:tc>
        <w:tc>
          <w:tcPr>
            <w:tcW w:type="dxa" w:w="1440"/>
          </w:tcPr>
          <w:p>
            <w:r>
              <w:t>AI Governance &amp; CoE transitioned to permanent ACME operations</w:t>
            </w:r>
          </w:p>
        </w:tc>
        <w:tc>
          <w:tcPr>
            <w:tcW w:type="dxa" w:w="1440"/>
          </w:tcPr>
          <w:p>
            <w:r>
              <w:t>ACME operates independently for ≥ 4 weeks before Pulaski roll-off</w:t>
            </w:r>
          </w:p>
        </w:tc>
        <w:tc>
          <w:tcPr>
            <w:tcW w:type="dxa" w:w="1440"/>
          </w:tcPr>
          <w:p>
            <w:r>
              <w:t>C. Tyrrell + S. Khurana</w:t>
            </w:r>
          </w:p>
        </w:tc>
        <w:tc>
          <w:tcPr>
            <w:tcW w:type="dxa" w:w="1440"/>
          </w:tcPr>
          <w:p>
            <w:r>
              <w:t>Program closeout</w:t>
            </w:r>
          </w:p>
        </w:tc>
      </w:tr>
    </w:tbl>
    <w:p/>
    <w:p>
      <w:pPr>
        <w:pStyle w:val="Heading2"/>
      </w:pPr>
      <w:r>
        <w:t>5. Program Scope</w:t>
      </w:r>
    </w:p>
    <w:p>
      <w:pPr>
        <w:pStyle w:val="Heading3"/>
      </w:pPr>
      <w:r>
        <w:t>5.1 In-Scope — Five Delivery Workstreams</w:t>
      </w:r>
    </w:p>
    <w:p>
      <w:pPr>
        <w:pStyle w:val="Heading4"/>
      </w:pPr>
      <w:r>
        <w:t>5.1.1 BRD-01: Claims &amp; Prior Authorization AI (Year 1 Flagship)</w:t>
      </w:r>
    </w:p>
    <w:p>
      <w:r>
        <w:t>Agentic prior-authorization automation using NLP document extraction, rules-based clinical decision support, and ML prediction to process PA requests with mandatory human review for all adverse determinations. Includes FHIR-based PA API integration (CMS-0057-F compliance), explainable determination generation, fraud pattern detection, and production monitoring with retraining triggers. 28-person delivery team. Full specification inBRD-01.</w:t>
      </w:r>
    </w:p>
    <w:p>
      <w:pPr>
        <w:pStyle w:val="Heading4"/>
      </w:pPr>
      <w:r>
        <w:t>5.1.2 BRD-02: Member &amp; Provider Experience AI (Year 2)</w:t>
      </w:r>
    </w:p>
    <w:p>
      <w:r>
        <w:t>Conversational AI for member self-service (24/7 virtual assistant across web, mobile, and voice channels) and call-center agent-assist (real-time response suggestions, case summarization). RAG-based factual grounding architecture to prevent hallucination (Moffatt v. Air Canadamitigation). Confidence-based escalation to human agents. WCAG 2.1 AA accessibility. 22-person delivery team. Full specification inBRD-02.</w:t>
      </w:r>
    </w:p>
    <w:p>
      <w:pPr>
        <w:pStyle w:val="Heading4"/>
      </w:pPr>
      <w:r>
        <w:t>5.1.3 BRD-03: Underwriting &amp; Risk AI (Year 2)</w:t>
      </w:r>
    </w:p>
    <w:p>
      <w:r>
        <w:t>Predictive risk-scoring models that augment actuarial judgment in group and individual underwriting. Explainable gradient boosted ensemble (GBE) models with SHAP-based factor attribution. Mandatory fairness testing with 3% disparate-impact threshold (strictest in program). Proxy variable audit. Shadow-mode pilot. NAIC Model AI Bulletin alignment. Actuarial ASOP compliance. 14-person delivery team. Full specification inBRD-03.</w:t>
      </w:r>
    </w:p>
    <w:p>
      <w:pPr>
        <w:pStyle w:val="Heading4"/>
      </w:pPr>
      <w:r>
        <w:t>5.1.4 AI Governance &amp; Center of Excellence (Cross-Cutting, Years 1–3)</w:t>
      </w:r>
    </w:p>
    <w:p>
      <w:r>
        <w:t>Enterprise-wide first line of defense for AI model risk. Establishes AI development standards aligned to NIST AI RMF 1.0 and ISO/IEC 42001. Operates the model lifecycle governance process: concept review at JAD sessions, interim reviews during development, coordination with Independent Model Validation, and production monitoring standards. Manages shadow-AI prevention. 12-person team. Transitions to permanent ACME operations at closeout.</w:t>
      </w:r>
    </w:p>
    <w:p>
      <w:pPr>
        <w:pStyle w:val="Heading4"/>
      </w:pPr>
      <w:r>
        <w:t>5.1.5 Data &amp; Cloud AI Platform Foundation (Cross-Cutting, Years 1–3)</w:t>
      </w:r>
    </w:p>
    <w:p>
      <w:r>
        <w:t>Shared hyperscaler cloud platform, MLOps pipelines, data governance layer, and FinOps controls. Built during Year 1 (Platform Foundation Go-Live target: March 2027) and used by all three BRDs. Multi-cloud architecture (Change Control CN-003). Data residency controls ensuring PHI remains onshore US. 20-person team.</w:t>
      </w:r>
    </w:p>
    <w:p>
      <w:pPr>
        <w:pStyle w:val="Heading3"/>
      </w:pPr>
      <w:r>
        <w:t>5.2 Explicitly Out of Scope</w:t>
      </w:r>
    </w:p>
    <w:p>
      <w:pPr>
        <w:pStyle w:val="ListBullet"/>
      </w:pPr>
      <w:r>
        <w:t>ACME's baseline CMS-0057-F compliance project:Minimum API endpoints, decision-timeline enforcement, and reporting mechanics are delivered by a separate project with its own charter and budget. BRD-01 builds on top of this baseline.</w:t>
      </w:r>
    </w:p>
    <w:p>
      <w:pPr>
        <w:pStyle w:val="ListBullet"/>
      </w:pPr>
      <w:r>
        <w:t>Non-AI claims processing system upgrades:If ACME's core claims system requires modernization to support BRD-01 integration, that modernization is a separate project. BRD-01 integrates with the claims system as-is (or as-upgraded by a separate effort).</w:t>
      </w:r>
    </w:p>
    <w:p>
      <w:pPr>
        <w:pStyle w:val="ListBullet"/>
      </w:pPr>
      <w:r>
        <w:t>ACME corporate organizational redesign:The AI CoE is a program function; its permanent placement in ACME's org structure is a closeout recommendation, not a charter commitment.</w:t>
      </w:r>
    </w:p>
    <w:p>
      <w:pPr>
        <w:pStyle w:val="ListBullet"/>
      </w:pPr>
      <w:r>
        <w:t>Provider-facing AI tools beyond BRD-02:Provider-specific AI capabilities (e.g., AI-assisted clinical documentation, provider performance scoring) are out of scope. BRD-02's provider features are limited to provider-facing self-service (eligibility, claims status, PA status).</w:t>
      </w:r>
    </w:p>
    <w:p>
      <w:pPr>
        <w:pStyle w:val="ListBullet"/>
      </w:pPr>
      <w:r>
        <w:t>Pharmacy benefit management AI:Pharmacy PA and formulary management are handled by ACME's PBM partner. AI integration with PBM workflows is out of scope unless specifically added through change control.</w:t>
      </w:r>
    </w:p>
    <w:p>
      <w:pPr>
        <w:pStyle w:val="Heading2"/>
      </w:pPr>
      <w:r>
        <w:t>6. Multi-Year Phasing &amp; BRD Structure</w:t>
      </w:r>
    </w:p>
    <w:p>
      <w:pPr>
        <w:pStyle w:val="Heading3"/>
      </w:pPr>
      <w:r>
        <w:t>6.1 Three-Year Program Structure</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Year</w:t>
            </w:r>
          </w:p>
        </w:tc>
        <w:tc>
          <w:tcPr>
            <w:tcW w:type="dxa" w:w="1728"/>
          </w:tcPr>
          <w:p>
            <w:r>
              <w:t>Phase</w:t>
            </w:r>
          </w:p>
        </w:tc>
        <w:tc>
          <w:tcPr>
            <w:tcW w:type="dxa" w:w="1728"/>
          </w:tcPr>
          <w:p>
            <w:r>
              <w:t>Duration</w:t>
            </w:r>
          </w:p>
        </w:tc>
        <w:tc>
          <w:tcPr>
            <w:tcW w:type="dxa" w:w="1728"/>
          </w:tcPr>
          <w:p>
            <w:r>
              <w:t>Focus</w:t>
            </w:r>
          </w:p>
        </w:tc>
        <w:tc>
          <w:tcPr>
            <w:tcW w:type="dxa" w:w="1728"/>
          </w:tcPr>
          <w:p>
            <w:r>
              <w:t>Budget</w:t>
            </w:r>
          </w:p>
        </w:tc>
      </w:tr>
      <w:tr>
        <w:tc>
          <w:tcPr>
            <w:tcW w:type="dxa" w:w="1728"/>
          </w:tcPr>
          <w:p>
            <w:r>
              <w:t>Year 1</w:t>
            </w:r>
          </w:p>
        </w:tc>
        <w:tc>
          <w:tcPr>
            <w:tcW w:type="dxa" w:w="1728"/>
          </w:tcPr>
          <w:p>
            <w:r>
              <w:t>Foundation &amp; Flagship</w:t>
            </w:r>
          </w:p>
        </w:tc>
        <w:tc>
          <w:tcPr>
            <w:tcW w:type="dxa" w:w="1728"/>
          </w:tcPr>
          <w:p>
            <w:r>
              <w:t>Aug 2026 – Sep 2027 (14 months)</w:t>
            </w:r>
          </w:p>
        </w:tc>
        <w:tc>
          <w:tcPr>
            <w:tcW w:type="dxa" w:w="1728"/>
          </w:tcPr>
          <w:p>
            <w:r>
              <w:t>Phase 0 readiness, governance standup, Platform Foundation, BRD-01 delivery through production</w:t>
            </w:r>
          </w:p>
        </w:tc>
        <w:tc>
          <w:tcPr>
            <w:tcW w:type="dxa" w:w="1728"/>
          </w:tcPr>
          <w:p>
            <w:r>
              <w:t>$27,720,000</w:t>
            </w:r>
          </w:p>
        </w:tc>
      </w:tr>
      <w:tr>
        <w:tc>
          <w:tcPr>
            <w:tcW w:type="dxa" w:w="1728"/>
          </w:tcPr>
          <w:p>
            <w:r>
              <w:t>Year 2</w:t>
            </w:r>
          </w:p>
        </w:tc>
        <w:tc>
          <w:tcPr>
            <w:tcW w:type="dxa" w:w="1728"/>
          </w:tcPr>
          <w:p>
            <w:r>
              <w:t>Expansion</w:t>
            </w:r>
          </w:p>
        </w:tc>
        <w:tc>
          <w:tcPr>
            <w:tcW w:type="dxa" w:w="1728"/>
          </w:tcPr>
          <w:p>
            <w:r>
              <w:t>Oct 2027 – Dec 2028 (15 months)</w:t>
            </w:r>
          </w:p>
        </w:tc>
        <w:tc>
          <w:tcPr>
            <w:tcW w:type="dxa" w:w="1728"/>
          </w:tcPr>
          <w:p>
            <w:r>
              <w:t>BRD-02 and BRD-03 delivery through production (parallel), BRD-01 sustain, platform expansion</w:t>
            </w:r>
          </w:p>
        </w:tc>
        <w:tc>
          <w:tcPr>
            <w:tcW w:type="dxa" w:w="1728"/>
          </w:tcPr>
          <w:p>
            <w:r>
              <w:t>$41,580,000</w:t>
            </w:r>
          </w:p>
        </w:tc>
      </w:tr>
      <w:tr>
        <w:tc>
          <w:tcPr>
            <w:tcW w:type="dxa" w:w="1728"/>
          </w:tcPr>
          <w:p>
            <w:r>
              <w:t>Year 3</w:t>
            </w:r>
          </w:p>
        </w:tc>
        <w:tc>
          <w:tcPr>
            <w:tcW w:type="dxa" w:w="1728"/>
          </w:tcPr>
          <w:p>
            <w:r>
              <w:t>Optimization &amp; Sustain</w:t>
            </w:r>
          </w:p>
        </w:tc>
        <w:tc>
          <w:tcPr>
            <w:tcW w:type="dxa" w:w="1728"/>
          </w:tcPr>
          <w:p>
            <w:r>
              <w:t>Jan 2029 – Aug 2029 (8 months)</w:t>
            </w:r>
          </w:p>
        </w:tc>
        <w:tc>
          <w:tcPr>
            <w:tcW w:type="dxa" w:w="1728"/>
          </w:tcPr>
          <w:p>
            <w:r>
              <w:t>Model optimization, benefits realization audit, knowledge transfer, CoE transition, closeout</w:t>
            </w:r>
          </w:p>
        </w:tc>
        <w:tc>
          <w:tcPr>
            <w:tcW w:type="dxa" w:w="1728"/>
          </w:tcPr>
          <w:p>
            <w:r>
              <w:t>$29,700,000</w:t>
            </w:r>
          </w:p>
        </w:tc>
      </w:tr>
      <w:tr>
        <w:tc>
          <w:tcPr>
            <w:tcW w:type="dxa" w:w="1728"/>
          </w:tcPr>
          <w:p>
            <w:r>
              <w:t>TOTAL</w:t>
            </w:r>
          </w:p>
        </w:tc>
        <w:tc>
          <w:tcPr>
            <w:tcW w:type="dxa" w:w="1728"/>
          </w:tcPr>
          <w:p>
            <w:r>
              <w:t>$99,000,000</w:t>
            </w:r>
          </w:p>
        </w:tc>
        <w:tc>
          <w:tcPr>
            <w:tcW w:type="dxa" w:w="1728"/>
          </w:tcPr>
          <w:p/>
        </w:tc>
        <w:tc>
          <w:tcPr>
            <w:tcW w:type="dxa" w:w="1728"/>
          </w:tcPr>
          <w:p/>
        </w:tc>
        <w:tc>
          <w:tcPr>
            <w:tcW w:type="dxa" w:w="1728"/>
          </w:tcPr>
          <w:p/>
        </w:tc>
      </w:tr>
    </w:tbl>
    <w:p/>
    <w:p>
      <w:pPr>
        <w:pStyle w:val="Heading3"/>
      </w:pPr>
      <w:r>
        <w:t>6.2 Phase-Gate Structure (Per BRD Cycle)</w:t>
      </w:r>
    </w:p>
    <w:p>
      <w:r>
        <w:t>Each BRD follows a five-phase gated lifecycle. Detailed phase definitions, gate criteria, and sign-off procedures are in theProgram Governance ModelSections 7–9 andProgram Management PlanSection 4.</w:t>
      </w:r>
    </w:p>
    <w:tbl>
      <w:tblPr>
        <w:tblStyle w:val="TableGrid"/>
        <w:tblW w:type="auto" w:w="0"/>
        <w:tblLook w:firstColumn="1" w:firstRow="1" w:lastColumn="0" w:lastRow="0" w:noHBand="0" w:noVBand="1" w:val="04A0"/>
      </w:tblPr>
      <w:tblGrid>
        <w:gridCol w:w="2880"/>
        <w:gridCol w:w="2880"/>
        <w:gridCol w:w="2880"/>
      </w:tblGrid>
      <w:tr>
        <w:tc>
          <w:tcPr>
            <w:tcW w:type="dxa" w:w="2880"/>
          </w:tcPr>
          <w:p>
            <w:r>
              <w:t>Phase</w:t>
            </w:r>
          </w:p>
        </w:tc>
        <w:tc>
          <w:tcPr>
            <w:tcW w:type="dxa" w:w="2880"/>
          </w:tcPr>
          <w:p>
            <w:r>
              <w:t>Purpose</w:t>
            </w:r>
          </w:p>
        </w:tc>
        <w:tc>
          <w:tcPr>
            <w:tcW w:type="dxa" w:w="2880"/>
          </w:tcPr>
          <w:p>
            <w:r>
              <w:t>Gate Sign-Off</w:t>
            </w:r>
          </w:p>
        </w:tc>
      </w:tr>
      <w:tr>
        <w:tc>
          <w:tcPr>
            <w:tcW w:type="dxa" w:w="2880"/>
          </w:tcPr>
          <w:p>
            <w:r>
              <w:t>Phase 0: Foundation &amp; Readiness</w:t>
            </w:r>
          </w:p>
        </w:tc>
        <w:tc>
          <w:tcPr>
            <w:tcW w:type="dxa" w:w="2880"/>
          </w:tcPr>
          <w:p>
            <w:r>
              <w:t>Data assessment, governance standup, vendor selection, team mobilization</w:t>
            </w:r>
          </w:p>
        </w:tc>
        <w:tc>
          <w:tcPr>
            <w:tcW w:type="dxa" w:w="2880"/>
          </w:tcPr>
          <w:p>
            <w:r>
              <w:t>All 3 Boards (concurrent)</w:t>
            </w:r>
          </w:p>
        </w:tc>
      </w:tr>
      <w:tr>
        <w:tc>
          <w:tcPr>
            <w:tcW w:type="dxa" w:w="2880"/>
          </w:tcPr>
          <w:p>
            <w:r>
              <w:t>Phase 1: Requirements &amp; Design</w:t>
            </w:r>
          </w:p>
        </w:tc>
        <w:tc>
          <w:tcPr>
            <w:tcW w:type="dxa" w:w="2880"/>
          </w:tcPr>
          <w:p>
            <w:r>
              <w:t>JAD sessions, requirements sign-off, architecture approval</w:t>
            </w:r>
          </w:p>
        </w:tc>
        <w:tc>
          <w:tcPr>
            <w:tcW w:type="dxa" w:w="2880"/>
          </w:tcPr>
          <w:p>
            <w:r>
              <w:t>All 3 Boards</w:t>
            </w:r>
          </w:p>
        </w:tc>
      </w:tr>
      <w:tr>
        <w:tc>
          <w:tcPr>
            <w:tcW w:type="dxa" w:w="2880"/>
          </w:tcPr>
          <w:p>
            <w:r>
              <w:t>Phase 2: Build &amp; Test</w:t>
            </w:r>
          </w:p>
        </w:tc>
        <w:tc>
          <w:tcPr>
            <w:tcW w:type="dxa" w:w="2880"/>
          </w:tcPr>
          <w:p>
            <w:r>
              <w:t>Platform live, model development, UAT prep</w:t>
            </w:r>
          </w:p>
        </w:tc>
        <w:tc>
          <w:tcPr>
            <w:tcW w:type="dxa" w:w="2880"/>
          </w:tcPr>
          <w:p>
            <w:r>
              <w:t>All 3 Boards</w:t>
            </w:r>
          </w:p>
        </w:tc>
      </w:tr>
      <w:tr>
        <w:tc>
          <w:tcPr>
            <w:tcW w:type="dxa" w:w="2880"/>
          </w:tcPr>
          <w:p>
            <w:r>
              <w:t>Phase 3: Pilot &amp; Pre-Production</w:t>
            </w:r>
          </w:p>
        </w:tc>
        <w:tc>
          <w:tcPr>
            <w:tcW w:type="dxa" w:w="2880"/>
          </w:tcPr>
          <w:p>
            <w:r>
              <w:t>Controlled pilot, model validation, production readiness</w:t>
            </w:r>
          </w:p>
        </w:tc>
        <w:tc>
          <w:tcPr>
            <w:tcW w:type="dxa" w:w="2880"/>
          </w:tcPr>
          <w:p>
            <w:r>
              <w:t>All 3 Boards</w:t>
            </w:r>
          </w:p>
        </w:tc>
      </w:tr>
      <w:tr>
        <w:tc>
          <w:tcPr>
            <w:tcW w:type="dxa" w:w="2880"/>
          </w:tcPr>
          <w:p>
            <w:r>
              <w:t>Phase 4: Production Scale</w:t>
            </w:r>
          </w:p>
        </w:tc>
        <w:tc>
          <w:tcPr>
            <w:tcW w:type="dxa" w:w="2880"/>
          </w:tcPr>
          <w:p>
            <w:r>
              <w:t>Full production, benefits tracking, Year 2/3 scope approval</w:t>
            </w:r>
          </w:p>
        </w:tc>
        <w:tc>
          <w:tcPr>
            <w:tcW w:type="dxa" w:w="2880"/>
          </w:tcPr>
          <w:p>
            <w:r>
              <w:t>All 3 Boards</w:t>
            </w:r>
          </w:p>
        </w:tc>
      </w:tr>
    </w:tbl>
    <w:p/>
    <w:p>
      <w:pPr>
        <w:pStyle w:val="Heading2"/>
      </w:pPr>
      <w:r>
        <w:t>7. Key Deliverables &amp; Milestones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Milestone</w:t>
            </w:r>
          </w:p>
        </w:tc>
        <w:tc>
          <w:tcPr>
            <w:tcW w:type="dxa" w:w="2160"/>
          </w:tcPr>
          <w:p>
            <w:r>
              <w:t>Target Date</w:t>
            </w:r>
          </w:p>
        </w:tc>
        <w:tc>
          <w:tcPr>
            <w:tcW w:type="dxa" w:w="2160"/>
          </w:tcPr>
          <w:p>
            <w:r>
              <w:t>Gate Owner</w:t>
            </w:r>
          </w:p>
        </w:tc>
        <w:tc>
          <w:tcPr>
            <w:tcW w:type="dxa" w:w="2160"/>
          </w:tcPr>
          <w:p>
            <w:r>
              <w:t>Deliverables</w:t>
            </w:r>
          </w:p>
        </w:tc>
      </w:tr>
      <w:tr>
        <w:tc>
          <w:tcPr>
            <w:tcW w:type="dxa" w:w="2160"/>
          </w:tcPr>
          <w:p>
            <w:r>
              <w:t>Program Kickoff</w:t>
            </w:r>
          </w:p>
        </w:tc>
        <w:tc>
          <w:tcPr>
            <w:tcW w:type="dxa" w:w="2160"/>
          </w:tcPr>
          <w:p>
            <w:r>
              <w:t>17 Aug 2026</w:t>
            </w:r>
          </w:p>
        </w:tc>
        <w:tc>
          <w:tcPr>
            <w:tcW w:type="dxa" w:w="2160"/>
          </w:tcPr>
          <w:p>
            <w:r>
              <w:t>Program Director</w:t>
            </w:r>
          </w:p>
        </w:tc>
        <w:tc>
          <w:tcPr>
            <w:tcW w:type="dxa" w:w="2160"/>
          </w:tcPr>
          <w:p>
            <w:r>
              <w:t>Kickoff Deck, Kickoff Summary, team mobilization initiated</w:t>
            </w:r>
          </w:p>
        </w:tc>
      </w:tr>
      <w:tr>
        <w:tc>
          <w:tcPr>
            <w:tcW w:type="dxa" w:w="2160"/>
          </w:tcPr>
          <w:p>
            <w:r>
              <w:t>Phase 0 Gate</w:t>
            </w:r>
          </w:p>
        </w:tc>
        <w:tc>
          <w:tcPr>
            <w:tcW w:type="dxa" w:w="2160"/>
          </w:tcPr>
          <w:p>
            <w:r>
              <w:t>06 Nov 2026</w:t>
            </w:r>
          </w:p>
        </w:tc>
        <w:tc>
          <w:tcPr>
            <w:tcW w:type="dxa" w:w="2160"/>
          </w:tcPr>
          <w:p>
            <w:r>
              <w:t>All 3 Boards</w:t>
            </w:r>
          </w:p>
        </w:tc>
        <w:tc>
          <w:tcPr>
            <w:tcW w:type="dxa" w:w="2160"/>
          </w:tcPr>
          <w:p>
            <w:r>
              <w:t>AI Readiness Assessment, CoE Charter, Governance Framework v1, Platform vendor BAA signed</w:t>
            </w:r>
          </w:p>
        </w:tc>
      </w:tr>
      <w:tr>
        <w:tc>
          <w:tcPr>
            <w:tcW w:type="dxa" w:w="2160"/>
          </w:tcPr>
          <w:p>
            <w:r>
              <w:t>BRD-01 JAD Complete</w:t>
            </w:r>
          </w:p>
        </w:tc>
        <w:tc>
          <w:tcPr>
            <w:tcW w:type="dxa" w:w="2160"/>
          </w:tcPr>
          <w:p>
            <w:r>
              <w:t>18 Dec 2026</w:t>
            </w:r>
          </w:p>
        </w:tc>
        <w:tc>
          <w:tcPr>
            <w:tcW w:type="dxa" w:w="2160"/>
          </w:tcPr>
          <w:p>
            <w:r>
              <w:t>AI Gov Board</w:t>
            </w:r>
          </w:p>
        </w:tc>
        <w:tc>
          <w:tcPr>
            <w:tcW w:type="dxa" w:w="2160"/>
          </w:tcPr>
          <w:p>
            <w:r>
              <w:t>BRD-01 Requirements Document signed by all JAD attendees</w:t>
            </w:r>
          </w:p>
        </w:tc>
      </w:tr>
      <w:tr>
        <w:tc>
          <w:tcPr>
            <w:tcW w:type="dxa" w:w="2160"/>
          </w:tcPr>
          <w:p>
            <w:r>
              <w:t>Phase 1 Gate</w:t>
            </w:r>
          </w:p>
        </w:tc>
        <w:tc>
          <w:tcPr>
            <w:tcW w:type="dxa" w:w="2160"/>
          </w:tcPr>
          <w:p>
            <w:r>
              <w:t>28 Feb 2027</w:t>
            </w:r>
          </w:p>
        </w:tc>
        <w:tc>
          <w:tcPr>
            <w:tcW w:type="dxa" w:w="2160"/>
          </w:tcPr>
          <w:p>
            <w:r>
              <w:t>All 3 Boards</w:t>
            </w:r>
          </w:p>
        </w:tc>
        <w:tc>
          <w:tcPr>
            <w:tcW w:type="dxa" w:w="2160"/>
          </w:tcPr>
          <w:p>
            <w:r>
              <w:t>Architecture approved, model validation criteria defined, security threat model complete</w:t>
            </w:r>
          </w:p>
        </w:tc>
      </w:tr>
      <w:tr>
        <w:tc>
          <w:tcPr>
            <w:tcW w:type="dxa" w:w="2160"/>
          </w:tcPr>
          <w:p>
            <w:r>
              <w:t>Platform Foundation Go-Live</w:t>
            </w:r>
          </w:p>
        </w:tc>
        <w:tc>
          <w:tcPr>
            <w:tcW w:type="dxa" w:w="2160"/>
          </w:tcPr>
          <w:p>
            <w:r>
              <w:t>31 Mar 2027</w:t>
            </w:r>
          </w:p>
        </w:tc>
        <w:tc>
          <w:tcPr>
            <w:tcW w:type="dxa" w:w="2160"/>
          </w:tcPr>
          <w:p>
            <w:r>
              <w:t>EARB</w:t>
            </w:r>
          </w:p>
        </w:tc>
        <w:tc>
          <w:tcPr>
            <w:tcW w:type="dxa" w:w="2160"/>
          </w:tcPr>
          <w:p>
            <w:r>
              <w:t>Cloud platform operational, MLOps pipelines active, data governance layer live</w:t>
            </w:r>
          </w:p>
        </w:tc>
      </w:tr>
      <w:tr>
        <w:tc>
          <w:tcPr>
            <w:tcW w:type="dxa" w:w="2160"/>
          </w:tcPr>
          <w:p>
            <w:r>
              <w:t>Phase 2 Gate</w:t>
            </w:r>
          </w:p>
        </w:tc>
        <w:tc>
          <w:tcPr>
            <w:tcW w:type="dxa" w:w="2160"/>
          </w:tcPr>
          <w:p>
            <w:r>
              <w:t>30 Jun 2027</w:t>
            </w:r>
          </w:p>
        </w:tc>
        <w:tc>
          <w:tcPr>
            <w:tcW w:type="dxa" w:w="2160"/>
          </w:tcPr>
          <w:p>
            <w:r>
              <w:t>All 3 Boards</w:t>
            </w:r>
          </w:p>
        </w:tc>
        <w:tc>
          <w:tcPr>
            <w:tcW w:type="dxa" w:w="2160"/>
          </w:tcPr>
          <w:p>
            <w:r>
              <w:t>BRD-01 model development &gt;80% complete, UAT environment ready, quality metrics on track</w:t>
            </w:r>
          </w:p>
        </w:tc>
      </w:tr>
      <w:tr>
        <w:tc>
          <w:tcPr>
            <w:tcW w:type="dxa" w:w="2160"/>
          </w:tcPr>
          <w:p>
            <w:r>
              <w:t>BRD-01 Pilot Go-Live</w:t>
            </w:r>
          </w:p>
        </w:tc>
        <w:tc>
          <w:tcPr>
            <w:tcW w:type="dxa" w:w="2160"/>
          </w:tcPr>
          <w:p>
            <w:r>
              <w:t>15 Jul 2027</w:t>
            </w:r>
          </w:p>
        </w:tc>
        <w:tc>
          <w:tcPr>
            <w:tcW w:type="dxa" w:w="2160"/>
          </w:tcPr>
          <w:p>
            <w:r>
              <w:t>AI Gov Board</w:t>
            </w:r>
          </w:p>
        </w:tc>
        <w:tc>
          <w:tcPr>
            <w:tcW w:type="dxa" w:w="2160"/>
          </w:tcPr>
          <w:p>
            <w:r>
              <w:t>Controlled pilot with limited user group, model validation clean</w:t>
            </w:r>
          </w:p>
        </w:tc>
      </w:tr>
      <w:tr>
        <w:tc>
          <w:tcPr>
            <w:tcW w:type="dxa" w:w="2160"/>
          </w:tcPr>
          <w:p>
            <w:r>
              <w:t>Phase 3 Gate</w:t>
            </w:r>
          </w:p>
        </w:tc>
        <w:tc>
          <w:tcPr>
            <w:tcW w:type="dxa" w:w="2160"/>
          </w:tcPr>
          <w:p>
            <w:r>
              <w:t>31 Aug 2027</w:t>
            </w:r>
          </w:p>
        </w:tc>
        <w:tc>
          <w:tcPr>
            <w:tcW w:type="dxa" w:w="2160"/>
          </w:tcPr>
          <w:p>
            <w:r>
              <w:t>All 3 Boards</w:t>
            </w:r>
          </w:p>
        </w:tc>
        <w:tc>
          <w:tcPr>
            <w:tcW w:type="dxa" w:w="2160"/>
          </w:tcPr>
          <w:p>
            <w:r>
              <w:t>Pilot UAT &gt;95% pass, production readiness approved, DR test passed</w:t>
            </w:r>
          </w:p>
        </w:tc>
      </w:tr>
      <w:tr>
        <w:tc>
          <w:tcPr>
            <w:tcW w:type="dxa" w:w="2160"/>
          </w:tcPr>
          <w:p>
            <w:r>
              <w:t>BRD-01 Full Production</w:t>
            </w:r>
          </w:p>
        </w:tc>
        <w:tc>
          <w:tcPr>
            <w:tcW w:type="dxa" w:w="2160"/>
          </w:tcPr>
          <w:p>
            <w:r>
              <w:t>30 Sep 2027</w:t>
            </w:r>
          </w:p>
        </w:tc>
        <w:tc>
          <w:tcPr>
            <w:tcW w:type="dxa" w:w="2160"/>
          </w:tcPr>
          <w:p>
            <w:r>
              <w:t>ESB</w:t>
            </w:r>
          </w:p>
        </w:tc>
        <w:tc>
          <w:tcPr>
            <w:tcW w:type="dxa" w:w="2160"/>
          </w:tcPr>
          <w:p>
            <w:r>
              <w:t>Claims PA AI live in production, benefits tracking baseline established</w:t>
            </w:r>
          </w:p>
        </w:tc>
      </w:tr>
      <w:tr>
        <w:tc>
          <w:tcPr>
            <w:tcW w:type="dxa" w:w="2160"/>
          </w:tcPr>
          <w:p>
            <w:r>
              <w:t>Year 2 Kickoff</w:t>
            </w:r>
          </w:p>
        </w:tc>
        <w:tc>
          <w:tcPr>
            <w:tcW w:type="dxa" w:w="2160"/>
          </w:tcPr>
          <w:p>
            <w:r>
              <w:t>01 Oct 2027</w:t>
            </w:r>
          </w:p>
        </w:tc>
        <w:tc>
          <w:tcPr>
            <w:tcW w:type="dxa" w:w="2160"/>
          </w:tcPr>
          <w:p>
            <w:r>
              <w:t>Program Director</w:t>
            </w:r>
          </w:p>
        </w:tc>
        <w:tc>
          <w:tcPr>
            <w:tcW w:type="dxa" w:w="2160"/>
          </w:tcPr>
          <w:p>
            <w:r>
              <w:t>BRD-02/03 teams mobilized, Year 2 phase cadence begins</w:t>
            </w:r>
          </w:p>
        </w:tc>
      </w:tr>
      <w:tr>
        <w:tc>
          <w:tcPr>
            <w:tcW w:type="dxa" w:w="2160"/>
          </w:tcPr>
          <w:p>
            <w:r>
              <w:t>BRD-02 Production</w:t>
            </w:r>
          </w:p>
        </w:tc>
        <w:tc>
          <w:tcPr>
            <w:tcW w:type="dxa" w:w="2160"/>
          </w:tcPr>
          <w:p>
            <w:r>
              <w:t>30 Sep 2028</w:t>
            </w:r>
          </w:p>
        </w:tc>
        <w:tc>
          <w:tcPr>
            <w:tcW w:type="dxa" w:w="2160"/>
          </w:tcPr>
          <w:p>
            <w:r>
              <w:t>All 3 Boards</w:t>
            </w:r>
          </w:p>
        </w:tc>
        <w:tc>
          <w:tcPr>
            <w:tcW w:type="dxa" w:w="2160"/>
          </w:tcPr>
          <w:p>
            <w:r>
              <w:t>Member virtual assistant + agent-assist live, WCAG 2.1 AA verified</w:t>
            </w:r>
          </w:p>
        </w:tc>
      </w:tr>
      <w:tr>
        <w:tc>
          <w:tcPr>
            <w:tcW w:type="dxa" w:w="2160"/>
          </w:tcPr>
          <w:p>
            <w:r>
              <w:t>BRD-03 Production</w:t>
            </w:r>
          </w:p>
        </w:tc>
        <w:tc>
          <w:tcPr>
            <w:tcW w:type="dxa" w:w="2160"/>
          </w:tcPr>
          <w:p>
            <w:r>
              <w:t>31 Dec 2028</w:t>
            </w:r>
          </w:p>
        </w:tc>
        <w:tc>
          <w:tcPr>
            <w:tcW w:type="dxa" w:w="2160"/>
          </w:tcPr>
          <w:p>
            <w:r>
              <w:t>All 3 Boards</w:t>
            </w:r>
          </w:p>
        </w:tc>
        <w:tc>
          <w:tcPr>
            <w:tcW w:type="dxa" w:w="2160"/>
          </w:tcPr>
          <w:p>
            <w:r>
              <w:t>Underwriting risk AI live (post shadow-mode), fairness verified</w:t>
            </w:r>
          </w:p>
        </w:tc>
      </w:tr>
      <w:tr>
        <w:tc>
          <w:tcPr>
            <w:tcW w:type="dxa" w:w="2160"/>
          </w:tcPr>
          <w:p>
            <w:r>
              <w:t>Year 3 Kickoff</w:t>
            </w:r>
          </w:p>
        </w:tc>
        <w:tc>
          <w:tcPr>
            <w:tcW w:type="dxa" w:w="2160"/>
          </w:tcPr>
          <w:p>
            <w:r>
              <w:t>01 Jan 2029</w:t>
            </w:r>
          </w:p>
        </w:tc>
        <w:tc>
          <w:tcPr>
            <w:tcW w:type="dxa" w:w="2160"/>
          </w:tcPr>
          <w:p>
            <w:r>
              <w:t>Program Director</w:t>
            </w:r>
          </w:p>
        </w:tc>
        <w:tc>
          <w:tcPr>
            <w:tcW w:type="dxa" w:w="2160"/>
          </w:tcPr>
          <w:p>
            <w:r>
              <w:t>Optimization phase begins, knowledge transfer planning initiated</w:t>
            </w:r>
          </w:p>
        </w:tc>
      </w:tr>
      <w:tr>
        <w:tc>
          <w:tcPr>
            <w:tcW w:type="dxa" w:w="2160"/>
          </w:tcPr>
          <w:p>
            <w:r>
              <w:t>Knowledge Transfer Complete</w:t>
            </w:r>
          </w:p>
        </w:tc>
        <w:tc>
          <w:tcPr>
            <w:tcW w:type="dxa" w:w="2160"/>
          </w:tcPr>
          <w:p>
            <w:r>
              <w:t>30 Jun 2029</w:t>
            </w:r>
          </w:p>
        </w:tc>
        <w:tc>
          <w:tcPr>
            <w:tcW w:type="dxa" w:w="2160"/>
          </w:tcPr>
          <w:p>
            <w:r>
              <w:t>ESB</w:t>
            </w:r>
          </w:p>
        </w:tc>
        <w:tc>
          <w:tcPr>
            <w:tcW w:type="dxa" w:w="2160"/>
          </w:tcPr>
          <w:p>
            <w:r>
              <w:t>ACME operates all AI capabilities independently for ≥ 4 weeks</w:t>
            </w:r>
          </w:p>
        </w:tc>
      </w:tr>
      <w:tr>
        <w:tc>
          <w:tcPr>
            <w:tcW w:type="dxa" w:w="2160"/>
          </w:tcPr>
          <w:p>
            <w:r>
              <w:t>Program Closeout</w:t>
            </w:r>
          </w:p>
        </w:tc>
        <w:tc>
          <w:tcPr>
            <w:tcW w:type="dxa" w:w="2160"/>
          </w:tcPr>
          <w:p>
            <w:r>
              <w:t>29 Aug 2029</w:t>
            </w:r>
          </w:p>
        </w:tc>
        <w:tc>
          <w:tcPr>
            <w:tcW w:type="dxa" w:w="2160"/>
          </w:tcPr>
          <w:p>
            <w:r>
              <w:t>ESB</w:t>
            </w:r>
          </w:p>
        </w:tc>
        <w:tc>
          <w:tcPr>
            <w:tcW w:type="dxa" w:w="2160"/>
          </w:tcPr>
          <w:p>
            <w:r>
              <w:t>Closeout Report, benefits audit, lessons learned, final financial close</w:t>
            </w:r>
          </w:p>
        </w:tc>
      </w:tr>
    </w:tbl>
    <w:p/>
    <w:p/>
    <w:p>
      <w:r>
        <w:rPr>
          <w:b/>
          <w:color w:val="1B3A6B"/>
          <w:sz w:val="28"/>
        </w:rPr>
        <w:t>Part III — Governance &amp; Organization</w:t>
      </w:r>
    </w:p>
    <w:p>
      <w:pPr>
        <w:pStyle w:val="Heading2"/>
      </w:pPr>
      <w:r>
        <w:t>8. Governance Structure &amp; Decision Rights</w:t>
      </w:r>
    </w:p>
    <w:p>
      <w:r>
        <w:t>Program governance operates through a four-level authority hierarchy (Strategic → Governance → Program → Execution) with three standing governance boards that hold concurrent sign-off authority at every phase gate. Full governance detail is in theProgram Governance Model; this section establishes the governance structure's charter-level authority.</w:t>
      </w:r>
    </w:p>
    <w:p>
      <w:pPr>
        <w:pStyle w:val="Heading3"/>
      </w:pPr>
      <w:r>
        <w:t>8.1 Three Governance Boards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Board</w:t>
            </w:r>
          </w:p>
        </w:tc>
        <w:tc>
          <w:tcPr>
            <w:tcW w:type="dxa" w:w="1728"/>
          </w:tcPr>
          <w:p>
            <w:r>
              <w:t>Chair</w:t>
            </w:r>
          </w:p>
        </w:tc>
        <w:tc>
          <w:tcPr>
            <w:tcW w:type="dxa" w:w="1728"/>
          </w:tcPr>
          <w:p>
            <w:r>
              <w:t>Composition</w:t>
            </w:r>
          </w:p>
        </w:tc>
        <w:tc>
          <w:tcPr>
            <w:tcW w:type="dxa" w:w="1728"/>
          </w:tcPr>
          <w:p>
            <w:r>
              <w:t>Mandate</w:t>
            </w:r>
          </w:p>
        </w:tc>
        <w:tc>
          <w:tcPr>
            <w:tcW w:type="dxa" w:w="1728"/>
          </w:tcPr>
          <w:p>
            <w:r>
              <w:t>Blocking Authority</w:t>
            </w:r>
          </w:p>
        </w:tc>
      </w:tr>
      <w:tr>
        <w:tc>
          <w:tcPr>
            <w:tcW w:type="dxa" w:w="1728"/>
          </w:tcPr>
          <w:p>
            <w:r>
              <w:t>Executive Steering Board</w:t>
            </w:r>
          </w:p>
        </w:tc>
        <w:tc>
          <w:tcPr>
            <w:tcW w:type="dxa" w:w="1728"/>
          </w:tcPr>
          <w:p>
            <w:r>
              <w:t>M. Kavanagh (COO)</w:t>
            </w:r>
          </w:p>
        </w:tc>
        <w:tc>
          <w:tcPr>
            <w:tcW w:type="dxa" w:w="1728"/>
          </w:tcPr>
          <w:p>
            <w:r>
              <w:t>COO, CIO, CFO, Chief Compliance Officer, General Counsel, CMO, CISO, CPO, Audit Liaison (9 members)</w:t>
            </w:r>
          </w:p>
        </w:tc>
        <w:tc>
          <w:tcPr>
            <w:tcW w:type="dxa" w:w="1728"/>
          </w:tcPr>
          <w:p>
            <w:r>
              <w:t>Business viability, budget, risk appetite, strategic alignment</w:t>
            </w:r>
          </w:p>
        </w:tc>
        <w:tc>
          <w:tcPr>
            <w:tcW w:type="dxa" w:w="1728"/>
          </w:tcPr>
          <w:p>
            <w:r>
              <w:t>Must sign off at every phase gate; approves scope/budget/schedule changes exceeding Program Director authority</w:t>
            </w:r>
          </w:p>
        </w:tc>
      </w:tr>
      <w:tr>
        <w:tc>
          <w:tcPr>
            <w:tcW w:type="dxa" w:w="1728"/>
          </w:tcPr>
          <w:p>
            <w:r>
              <w:t>AI Governance Board</w:t>
            </w:r>
          </w:p>
        </w:tc>
        <w:tc>
          <w:tcPr>
            <w:tcW w:type="dxa" w:w="1728"/>
          </w:tcPr>
          <w:p>
            <w:r>
              <w:t>S. Khurana (AI Gov Dir)</w:t>
            </w:r>
          </w:p>
        </w:tc>
        <w:tc>
          <w:tcPr>
            <w:tcW w:type="dxa" w:w="1728"/>
          </w:tcPr>
          <w:p>
            <w:r>
              <w:t>AI Governance Director, Independent Validation Lead, Chief Privacy Officer, Chief Medical Officer (4 members)</w:t>
            </w:r>
          </w:p>
        </w:tc>
        <w:tc>
          <w:tcPr>
            <w:tcW w:type="dxa" w:w="1728"/>
          </w:tcPr>
          <w:p>
            <w:r>
              <w:t>AI model risk, responsible AI, fairness/bias, model lifecycle</w:t>
            </w:r>
          </w:p>
        </w:tc>
        <w:tc>
          <w:tcPr>
            <w:tcW w:type="dxa" w:w="1728"/>
          </w:tcPr>
          <w:p>
            <w:r>
              <w:t>No model reaches production without clean validation sign-off AND Board approval. Non-overridable — even Executive Sponsor cannot direct deployment of a failed model.</w:t>
            </w:r>
          </w:p>
        </w:tc>
      </w:tr>
      <w:tr>
        <w:tc>
          <w:tcPr>
            <w:tcW w:type="dxa" w:w="1728"/>
          </w:tcPr>
          <w:p>
            <w:r>
              <w:t>Enterprise Architecture Review Board</w:t>
            </w:r>
          </w:p>
        </w:tc>
        <w:tc>
          <w:tcPr>
            <w:tcW w:type="dxa" w:w="1728"/>
          </w:tcPr>
          <w:p>
            <w:r>
              <w:t>D. Chen (Chief Architect)</w:t>
            </w:r>
          </w:p>
        </w:tc>
        <w:tc>
          <w:tcPr>
            <w:tcW w:type="dxa" w:w="1728"/>
          </w:tcPr>
          <w:p>
            <w:r>
              <w:t>Chief Architect, CISO (Security Arch), VP IT Ops; Program Director as observer (3+1 members)</w:t>
            </w:r>
          </w:p>
        </w:tc>
        <w:tc>
          <w:tcPr>
            <w:tcW w:type="dxa" w:w="1728"/>
          </w:tcPr>
          <w:p>
            <w:r>
              <w:t>Technical architecture, security, integration standards, platform readiness</w:t>
            </w:r>
          </w:p>
        </w:tc>
        <w:tc>
          <w:tcPr>
            <w:tcW w:type="dxa" w:w="1728"/>
          </w:tcPr>
          <w:p>
            <w:r>
              <w:t>No system enters build without EARB technical fit and security sign-off</w:t>
            </w:r>
          </w:p>
        </w:tc>
      </w:tr>
    </w:tbl>
    <w:p/>
    <w:p>
      <w:pPr>
        <w:pStyle w:val="Heading3"/>
      </w:pPr>
      <w:r>
        <w:t>8.2 Concurrent Sign-Off Requirement</w:t>
      </w:r>
    </w:p>
    <w:p>
      <w:r>
        <w:t>All three boards must sign off independently at every phase gate. One board cannot override another. If boards disagree, the conflict resolution process (defined inGovernance ModelSection 6) escalates through joint session → compromise proposal → Executive Sponsor resolution. This concurrent structure prevents any single perspective (business, AI risk, or technical) from dominating decisions that affect all three.</w:t>
      </w:r>
    </w:p>
    <w:p>
      <w:pPr>
        <w:pStyle w:val="Heading2"/>
      </w:pPr>
      <w:r>
        <w:t>9. AI Governance &amp; Model Risk Framework</w:t>
      </w:r>
    </w:p>
    <w:p>
      <w:pPr>
        <w:pStyle w:val="Heading3"/>
      </w:pPr>
      <w:r>
        <w:t>9.1 Two-Line-of-Defense Model Risk Structure</w:t>
      </w:r>
    </w:p>
    <w:p>
      <w:r>
        <w:t>AI model risk is managed through a deliberate two-line-of-defense structure, modeled on financial services regulatory practice (OCC SR 11-7) and adapted for healthcare AI:</w:t>
      </w:r>
    </w:p>
    <w:p>
      <w:pPr>
        <w:pStyle w:val="ListBullet"/>
      </w:pPr>
      <w:r>
        <w:t>First Line — AI Governance &amp; CoE (S. Khurana, 12 people):Embedded in delivery. Sets standards, reviews model design at JAD sessions, conducts interim reviews during development, defines fairness and explainability requirements. Advisory and standards-setting during development.</w:t>
      </w:r>
    </w:p>
    <w:p>
      <w:pPr>
        <w:pStyle w:val="ListBullet"/>
      </w:pPr>
      <w:r>
        <w:t>Second Line — Independent Model Validation (P. Okafor, 6 people):Separate from delivery. Reports to AI Governance Board, not to BRD leads. Tests every model against five criteria (accuracy, fairness, explainability, security, regulatory compliance). Has formal, non-overridable blocking authority for production releases.</w:t>
      </w:r>
    </w:p>
    <w:p>
      <w:pPr>
        <w:ind w:left="432"/>
      </w:pPr>
      <w:r>
        <w:rPr>
          <w:sz w:val="22"/>
        </w:rPr>
        <w:t>Why two lines?A single team that both designs and validates AI models has an inherent conflict of interest. The deliberate separation between CoE (advisory, embedded) and Validation (independent, blocking) eliminates this conflict and creates a governance structure that survives regulatory scrutiny.</w:t>
      </w:r>
    </w:p>
    <w:p>
      <w:pPr>
        <w:pStyle w:val="Heading3"/>
      </w:pPr>
      <w:r>
        <w:t>9.2 Regulatory Framework Alignment</w:t>
      </w:r>
    </w:p>
    <w:p>
      <w:r>
        <w:t>The AI governance framework aligns to four regulatory/standards anchors:</w:t>
      </w:r>
    </w:p>
    <w:p>
      <w:pPr>
        <w:pStyle w:val="ListBullet"/>
      </w:pPr>
      <w:r>
        <w:t>NIST AI RMF 1.0:Four-function framework (Govern, Map, Measure, Manage) mapped to program governance mechanisms. SeeGovernance ModelSection 14.</w:t>
      </w:r>
    </w:p>
    <w:p>
      <w:pPr>
        <w:pStyle w:val="ListBullet"/>
      </w:pPr>
      <w:r>
        <w:t>ISO/IEC 42001:AI management system standard; organizational alignment target for the AI CoE.</w:t>
      </w:r>
    </w:p>
    <w:p>
      <w:pPr>
        <w:pStyle w:val="ListBullet"/>
      </w:pPr>
      <w:r>
        <w:t>NAIC Model AI Bulletin:Insurance-specific AI governance guidance; directly applicable to BRD-03 (underwriting) and BRD-01 (claims/PA).</w:t>
      </w:r>
    </w:p>
    <w:p>
      <w:pPr>
        <w:pStyle w:val="ListBullet"/>
      </w:pPr>
      <w:r>
        <w:t>State AI-in-insurance statutes:Colorado SB 21-169, Connecticut SB 1103, and emerging state legislation. Compliance tracked quarterly by the AI CoE.</w:t>
      </w:r>
    </w:p>
    <w:p>
      <w:pPr>
        <w:pStyle w:val="Heading3"/>
      </w:pPr>
      <w:r>
        <w:t>9.3 Responsible AI Principles (Charter-Level)</w:t>
      </w:r>
    </w:p>
    <w:p>
      <w:r>
        <w:t>These principles are non-negotiable across all program workstreams:</w:t>
      </w:r>
    </w:p>
    <w:p>
      <w:pPr>
        <w:pStyle w:val="ListNumber"/>
      </w:pPr>
      <w:r>
        <w:t>Transparency:Every AI-assisted decision must be explainable in human-readable terms.</w:t>
      </w:r>
    </w:p>
    <w:p>
      <w:pPr>
        <w:pStyle w:val="ListNumber"/>
      </w:pPr>
      <w:r>
        <w:t>Human oversight:Mandatory human review for all adverse PA determinations (BRD-01), underwriting decisions in edge-case bands (BRD-03), and low-confidence member interactions (BRD-02).</w:t>
      </w:r>
    </w:p>
    <w:p>
      <w:pPr>
        <w:pStyle w:val="ListNumber"/>
      </w:pPr>
      <w:r>
        <w:t>Fairness:Models tested for disparate impact before production; ongoing monitoring post-production. No model deployed that produces systematically different outcomes for demographically similar populations without documented, defensible justification.</w:t>
      </w:r>
    </w:p>
    <w:p>
      <w:pPr>
        <w:pStyle w:val="ListNumber"/>
      </w:pPr>
      <w:r>
        <w:t>Accountability:Every model decision is logged with full audit trail. Every governance decision is documented with named authority. The question "Who approved this?" always has an answer.</w:t>
      </w:r>
    </w:p>
    <w:p>
      <w:pPr>
        <w:pStyle w:val="ListNumber"/>
      </w:pPr>
      <w:r>
        <w:t>Privacy:PHI handled exclusively in onshore US environments. Data used for model training is de-identified per HIPAA Safe Harbor. Privacy impact assessments conducted per BRD.</w:t>
      </w:r>
    </w:p>
    <w:p>
      <w:pPr>
        <w:pStyle w:val="Heading2"/>
      </w:pPr>
      <w:r>
        <w:t>10. Organizational Structure &amp; Roster</w:t>
      </w:r>
    </w:p>
    <w:p>
      <w:pPr>
        <w:pStyle w:val="Heading3"/>
      </w:pPr>
      <w:r>
        <w:t>10.1 Roster Summary</w:t>
      </w:r>
    </w:p>
    <w:p>
      <w:r>
        <w:t>Total program roster:262 people across 25 functional teams. This is total headcount across the 36.5-month program lifecycle, not concurrent headcount — staffing ramps by phase (Phase 0: ~80 active; Year 1 peak: ~120; Year 2 peak: ~180; Year 3: ~100 declining). Complete named roster in theResource Plan; full reporting structure in theOrganization Chart.</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Category</w:t>
            </w:r>
          </w:p>
        </w:tc>
        <w:tc>
          <w:tcPr>
            <w:tcW w:type="dxa" w:w="2160"/>
          </w:tcPr>
          <w:p>
            <w:r>
              <w:t>Count</w:t>
            </w:r>
          </w:p>
        </w:tc>
        <w:tc>
          <w:tcPr>
            <w:tcW w:type="dxa" w:w="2160"/>
          </w:tcPr>
          <w:p>
            <w:r>
              <w:t>Annual Labor Cost</w:t>
            </w:r>
          </w:p>
        </w:tc>
        <w:tc>
          <w:tcPr>
            <w:tcW w:type="dxa" w:w="2160"/>
          </w:tcPr>
          <w:p>
            <w:r>
              <w:t>Role</w:t>
            </w:r>
          </w:p>
        </w:tc>
      </w:tr>
      <w:tr>
        <w:tc>
          <w:tcPr>
            <w:tcW w:type="dxa" w:w="2160"/>
          </w:tcPr>
          <w:p>
            <w:r>
              <w:t>ACME FTE (non-billable to Pulaski SOW)</w:t>
            </w:r>
          </w:p>
        </w:tc>
        <w:tc>
          <w:tcPr>
            <w:tcW w:type="dxa" w:w="2160"/>
          </w:tcPr>
          <w:p>
            <w:r>
              <w:t>~140</w:t>
            </w:r>
          </w:p>
        </w:tc>
        <w:tc>
          <w:tcPr>
            <w:tcW w:type="dxa" w:w="2160"/>
          </w:tcPr>
          <w:p>
            <w:r>
              <w:t>$19,600,000</w:t>
            </w:r>
          </w:p>
        </w:tc>
        <w:tc>
          <w:tcPr>
            <w:tcW w:type="dxa" w:w="2160"/>
          </w:tcPr>
          <w:p>
            <w:r>
              <w:t>Governance, compliance, operations, clinical, executive oversight</w:t>
            </w:r>
          </w:p>
        </w:tc>
      </w:tr>
      <w:tr>
        <w:tc>
          <w:tcPr>
            <w:tcW w:type="dxa" w:w="2160"/>
          </w:tcPr>
          <w:p>
            <w:r>
              <w:t>Pulaski Onshore Consultant (billable)</w:t>
            </w:r>
          </w:p>
        </w:tc>
        <w:tc>
          <w:tcPr>
            <w:tcW w:type="dxa" w:w="2160"/>
          </w:tcPr>
          <w:p>
            <w:r>
              <w:t>~75</w:t>
            </w:r>
          </w:p>
        </w:tc>
        <w:tc>
          <w:tcPr>
            <w:tcW w:type="dxa" w:w="2160"/>
          </w:tcPr>
          <w:p>
            <w:r>
              <w:t>$27,400,000</w:t>
            </w:r>
          </w:p>
        </w:tc>
        <w:tc>
          <w:tcPr>
            <w:tcW w:type="dxa" w:w="2160"/>
          </w:tcPr>
          <w:p>
            <w:r>
              <w:t>Delivery, AI engineering, platform, CoE leadership, UX, change management</w:t>
            </w:r>
          </w:p>
        </w:tc>
      </w:tr>
      <w:tr>
        <w:tc>
          <w:tcPr>
            <w:tcW w:type="dxa" w:w="2160"/>
          </w:tcPr>
          <w:p>
            <w:r>
              <w:t>Pulaski Offshore Consultant (billable)</w:t>
            </w:r>
          </w:p>
        </w:tc>
        <w:tc>
          <w:tcPr>
            <w:tcW w:type="dxa" w:w="2160"/>
          </w:tcPr>
          <w:p>
            <w:r>
              <w:t>~47</w:t>
            </w:r>
          </w:p>
        </w:tc>
        <w:tc>
          <w:tcPr>
            <w:tcW w:type="dxa" w:w="2160"/>
          </w:tcPr>
          <w:p>
            <w:r>
              <w:t>$14,200,000</w:t>
            </w:r>
          </w:p>
        </w:tc>
        <w:tc>
          <w:tcPr>
            <w:tcW w:type="dxa" w:w="2160"/>
          </w:tcPr>
          <w:p>
            <w:r>
              <w:t>QA/testing, data engineering, platform engineering, documentation</w:t>
            </w:r>
          </w:p>
        </w:tc>
      </w:tr>
      <w:tr>
        <w:tc>
          <w:tcPr>
            <w:tcW w:type="dxa" w:w="2160"/>
          </w:tcPr>
          <w:p>
            <w:r>
              <w:t>Total</w:t>
            </w:r>
          </w:p>
        </w:tc>
        <w:tc>
          <w:tcPr>
            <w:tcW w:type="dxa" w:w="2160"/>
          </w:tcPr>
          <w:p>
            <w:r>
              <w:t>262</w:t>
            </w:r>
          </w:p>
        </w:tc>
        <w:tc>
          <w:tcPr>
            <w:tcW w:type="dxa" w:w="2160"/>
          </w:tcPr>
          <w:p>
            <w:r>
              <w:t>$61,200,000</w:t>
            </w:r>
          </w:p>
        </w:tc>
        <w:tc>
          <w:tcPr>
            <w:tcW w:type="dxa" w:w="2160"/>
          </w:tcPr>
          <w:p>
            <w:r/>
          </w:p>
        </w:tc>
      </w:tr>
    </w:tbl>
    <w:p/>
    <w:p>
      <w:pPr>
        <w:pStyle w:val="Heading3"/>
      </w:pPr>
      <w:r>
        <w:t>10.2 25 Functional Teams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w:t>
            </w:r>
          </w:p>
        </w:tc>
        <w:tc>
          <w:tcPr>
            <w:tcW w:type="dxa" w:w="1728"/>
          </w:tcPr>
          <w:p>
            <w:r>
              <w:t>Team</w:t>
            </w:r>
          </w:p>
        </w:tc>
        <w:tc>
          <w:tcPr>
            <w:tcW w:type="dxa" w:w="1728"/>
          </w:tcPr>
          <w:p>
            <w:r>
              <w:t>Count</w:t>
            </w:r>
          </w:p>
        </w:tc>
        <w:tc>
          <w:tcPr>
            <w:tcW w:type="dxa" w:w="1728"/>
          </w:tcPr>
          <w:p>
            <w:r>
              <w:t>Lead</w:t>
            </w:r>
          </w:p>
        </w:tc>
        <w:tc>
          <w:tcPr>
            <w:tcW w:type="dxa" w:w="1728"/>
          </w:tcPr>
          <w:p>
            <w:r>
              <w:t>Org</w:t>
            </w:r>
          </w:p>
        </w:tc>
      </w:tr>
      <w:tr>
        <w:tc>
          <w:tcPr>
            <w:tcW w:type="dxa" w:w="1728"/>
          </w:tcPr>
          <w:p>
            <w:r>
              <w:t>1</w:t>
            </w:r>
          </w:p>
        </w:tc>
        <w:tc>
          <w:tcPr>
            <w:tcW w:type="dxa" w:w="1728"/>
          </w:tcPr>
          <w:p>
            <w:r>
              <w:t>Program Leadership &amp; PMO</w:t>
            </w:r>
          </w:p>
        </w:tc>
        <w:tc>
          <w:tcPr>
            <w:tcW w:type="dxa" w:w="1728"/>
          </w:tcPr>
          <w:p>
            <w:r>
              <w:t>16</w:t>
            </w:r>
          </w:p>
        </w:tc>
        <w:tc>
          <w:tcPr>
            <w:tcW w:type="dxa" w:w="1728"/>
          </w:tcPr>
          <w:p>
            <w:r>
              <w:t>C. Tyrrell / T. Valdez</w:t>
            </w:r>
          </w:p>
        </w:tc>
        <w:tc>
          <w:tcPr>
            <w:tcW w:type="dxa" w:w="1728"/>
          </w:tcPr>
          <w:p>
            <w:r>
              <w:t>Pulaski / ACME</w:t>
            </w:r>
          </w:p>
        </w:tc>
      </w:tr>
      <w:tr>
        <w:tc>
          <w:tcPr>
            <w:tcW w:type="dxa" w:w="1728"/>
          </w:tcPr>
          <w:p>
            <w:r>
              <w:t>2</w:t>
            </w:r>
          </w:p>
        </w:tc>
        <w:tc>
          <w:tcPr>
            <w:tcW w:type="dxa" w:w="1728"/>
          </w:tcPr>
          <w:p>
            <w:r>
              <w:t>Executive Steering &amp; Governance Board</w:t>
            </w:r>
          </w:p>
        </w:tc>
        <w:tc>
          <w:tcPr>
            <w:tcW w:type="dxa" w:w="1728"/>
          </w:tcPr>
          <w:p>
            <w:r>
              <w:t>9</w:t>
            </w:r>
          </w:p>
        </w:tc>
        <w:tc>
          <w:tcPr>
            <w:tcW w:type="dxa" w:w="1728"/>
          </w:tcPr>
          <w:p>
            <w:r>
              <w:t>M. Kavanagh</w:t>
            </w:r>
          </w:p>
        </w:tc>
        <w:tc>
          <w:tcPr>
            <w:tcW w:type="dxa" w:w="1728"/>
          </w:tcPr>
          <w:p>
            <w:r>
              <w:t>ACME</w:t>
            </w:r>
          </w:p>
        </w:tc>
      </w:tr>
      <w:tr>
        <w:tc>
          <w:tcPr>
            <w:tcW w:type="dxa" w:w="1728"/>
          </w:tcPr>
          <w:p>
            <w:r>
              <w:t>3</w:t>
            </w:r>
          </w:p>
        </w:tc>
        <w:tc>
          <w:tcPr>
            <w:tcW w:type="dxa" w:w="1728"/>
          </w:tcPr>
          <w:p>
            <w:r>
              <w:t>Legal</w:t>
            </w:r>
          </w:p>
        </w:tc>
        <w:tc>
          <w:tcPr>
            <w:tcW w:type="dxa" w:w="1728"/>
          </w:tcPr>
          <w:p>
            <w:r>
              <w:t>6</w:t>
            </w:r>
          </w:p>
        </w:tc>
        <w:tc>
          <w:tcPr>
            <w:tcW w:type="dxa" w:w="1728"/>
          </w:tcPr>
          <w:p>
            <w:r>
              <w:t>R. Thorne</w:t>
            </w:r>
          </w:p>
        </w:tc>
        <w:tc>
          <w:tcPr>
            <w:tcW w:type="dxa" w:w="1728"/>
          </w:tcPr>
          <w:p>
            <w:r>
              <w:t>ACME</w:t>
            </w:r>
          </w:p>
        </w:tc>
      </w:tr>
      <w:tr>
        <w:tc>
          <w:tcPr>
            <w:tcW w:type="dxa" w:w="1728"/>
          </w:tcPr>
          <w:p>
            <w:r>
              <w:t>4</w:t>
            </w:r>
          </w:p>
        </w:tc>
        <w:tc>
          <w:tcPr>
            <w:tcW w:type="dxa" w:w="1728"/>
          </w:tcPr>
          <w:p>
            <w:r>
              <w:t>Compliance</w:t>
            </w:r>
          </w:p>
        </w:tc>
        <w:tc>
          <w:tcPr>
            <w:tcW w:type="dxa" w:w="1728"/>
          </w:tcPr>
          <w:p>
            <w:r>
              <w:t>7</w:t>
            </w:r>
          </w:p>
        </w:tc>
        <w:tc>
          <w:tcPr>
            <w:tcW w:type="dxa" w:w="1728"/>
          </w:tcPr>
          <w:p>
            <w:r>
              <w:t>J. Martinez</w:t>
            </w:r>
          </w:p>
        </w:tc>
        <w:tc>
          <w:tcPr>
            <w:tcW w:type="dxa" w:w="1728"/>
          </w:tcPr>
          <w:p>
            <w:r>
              <w:t>ACME</w:t>
            </w:r>
          </w:p>
        </w:tc>
      </w:tr>
      <w:tr>
        <w:tc>
          <w:tcPr>
            <w:tcW w:type="dxa" w:w="1728"/>
          </w:tcPr>
          <w:p>
            <w:r>
              <w:t>5</w:t>
            </w:r>
          </w:p>
        </w:tc>
        <w:tc>
          <w:tcPr>
            <w:tcW w:type="dxa" w:w="1728"/>
          </w:tcPr>
          <w:p>
            <w:r>
              <w:t>AI Governance &amp; CoE</w:t>
            </w:r>
          </w:p>
        </w:tc>
        <w:tc>
          <w:tcPr>
            <w:tcW w:type="dxa" w:w="1728"/>
          </w:tcPr>
          <w:p>
            <w:r>
              <w:t>12</w:t>
            </w:r>
          </w:p>
        </w:tc>
        <w:tc>
          <w:tcPr>
            <w:tcW w:type="dxa" w:w="1728"/>
          </w:tcPr>
          <w:p>
            <w:r>
              <w:t>S. Khurana</w:t>
            </w:r>
          </w:p>
        </w:tc>
        <w:tc>
          <w:tcPr>
            <w:tcW w:type="dxa" w:w="1728"/>
          </w:tcPr>
          <w:p>
            <w:r>
              <w:t>Pulaski</w:t>
            </w:r>
          </w:p>
        </w:tc>
      </w:tr>
      <w:tr>
        <w:tc>
          <w:tcPr>
            <w:tcW w:type="dxa" w:w="1728"/>
          </w:tcPr>
          <w:p>
            <w:r>
              <w:t>6</w:t>
            </w:r>
          </w:p>
        </w:tc>
        <w:tc>
          <w:tcPr>
            <w:tcW w:type="dxa" w:w="1728"/>
          </w:tcPr>
          <w:p>
            <w:r>
              <w:t>Enterprise Architecture</w:t>
            </w:r>
          </w:p>
        </w:tc>
        <w:tc>
          <w:tcPr>
            <w:tcW w:type="dxa" w:w="1728"/>
          </w:tcPr>
          <w:p>
            <w:r>
              <w:t>8</w:t>
            </w:r>
          </w:p>
        </w:tc>
        <w:tc>
          <w:tcPr>
            <w:tcW w:type="dxa" w:w="1728"/>
          </w:tcPr>
          <w:p>
            <w:r>
              <w:t>D. Chen</w:t>
            </w:r>
          </w:p>
        </w:tc>
        <w:tc>
          <w:tcPr>
            <w:tcW w:type="dxa" w:w="1728"/>
          </w:tcPr>
          <w:p>
            <w:r>
              <w:t>ACME</w:t>
            </w:r>
          </w:p>
        </w:tc>
      </w:tr>
      <w:tr>
        <w:tc>
          <w:tcPr>
            <w:tcW w:type="dxa" w:w="1728"/>
          </w:tcPr>
          <w:p>
            <w:r>
              <w:t>7</w:t>
            </w:r>
          </w:p>
        </w:tc>
        <w:tc>
          <w:tcPr>
            <w:tcW w:type="dxa" w:w="1728"/>
          </w:tcPr>
          <w:p>
            <w:r>
              <w:t>SOX / Financial Controls</w:t>
            </w:r>
          </w:p>
        </w:tc>
        <w:tc>
          <w:tcPr>
            <w:tcW w:type="dxa" w:w="1728"/>
          </w:tcPr>
          <w:p>
            <w:r>
              <w:t>6</w:t>
            </w:r>
          </w:p>
        </w:tc>
        <w:tc>
          <w:tcPr>
            <w:tcW w:type="dxa" w:w="1728"/>
          </w:tcPr>
          <w:p>
            <w:r>
              <w:t>K. Williams</w:t>
            </w:r>
          </w:p>
        </w:tc>
        <w:tc>
          <w:tcPr>
            <w:tcW w:type="dxa" w:w="1728"/>
          </w:tcPr>
          <w:p>
            <w:r>
              <w:t>ACME</w:t>
            </w:r>
          </w:p>
        </w:tc>
      </w:tr>
      <w:tr>
        <w:tc>
          <w:tcPr>
            <w:tcW w:type="dxa" w:w="1728"/>
          </w:tcPr>
          <w:p>
            <w:r>
              <w:t>8</w:t>
            </w:r>
          </w:p>
        </w:tc>
        <w:tc>
          <w:tcPr>
            <w:tcW w:type="dxa" w:w="1728"/>
          </w:tcPr>
          <w:p>
            <w:r>
              <w:t>Program Finance</w:t>
            </w:r>
          </w:p>
        </w:tc>
        <w:tc>
          <w:tcPr>
            <w:tcW w:type="dxa" w:w="1728"/>
          </w:tcPr>
          <w:p>
            <w:r>
              <w:t>6</w:t>
            </w:r>
          </w:p>
        </w:tc>
        <w:tc>
          <w:tcPr>
            <w:tcW w:type="dxa" w:w="1728"/>
          </w:tcPr>
          <w:p>
            <w:r>
              <w:t>A. Rodriguez</w:t>
            </w:r>
          </w:p>
        </w:tc>
        <w:tc>
          <w:tcPr>
            <w:tcW w:type="dxa" w:w="1728"/>
          </w:tcPr>
          <w:p>
            <w:r>
              <w:t>ACME</w:t>
            </w:r>
          </w:p>
        </w:tc>
      </w:tr>
      <w:tr>
        <w:tc>
          <w:tcPr>
            <w:tcW w:type="dxa" w:w="1728"/>
          </w:tcPr>
          <w:p>
            <w:r>
              <w:t>9</w:t>
            </w:r>
          </w:p>
        </w:tc>
        <w:tc>
          <w:tcPr>
            <w:tcW w:type="dxa" w:w="1728"/>
          </w:tcPr>
          <w:p>
            <w:r>
              <w:t>Vendor / SaaS Management</w:t>
            </w:r>
          </w:p>
        </w:tc>
        <w:tc>
          <w:tcPr>
            <w:tcW w:type="dxa" w:w="1728"/>
          </w:tcPr>
          <w:p>
            <w:r>
              <w:t>4</w:t>
            </w:r>
          </w:p>
        </w:tc>
        <w:tc>
          <w:tcPr>
            <w:tcW w:type="dxa" w:w="1728"/>
          </w:tcPr>
          <w:p>
            <w:r>
              <w:t>L. Park</w:t>
            </w:r>
          </w:p>
        </w:tc>
        <w:tc>
          <w:tcPr>
            <w:tcW w:type="dxa" w:w="1728"/>
          </w:tcPr>
          <w:p>
            <w:r>
              <w:t>Pulaski</w:t>
            </w:r>
          </w:p>
        </w:tc>
      </w:tr>
      <w:tr>
        <w:tc>
          <w:tcPr>
            <w:tcW w:type="dxa" w:w="1728"/>
          </w:tcPr>
          <w:p>
            <w:r>
              <w:t>10</w:t>
            </w:r>
          </w:p>
        </w:tc>
        <w:tc>
          <w:tcPr>
            <w:tcW w:type="dxa" w:w="1728"/>
          </w:tcPr>
          <w:p>
            <w:r>
              <w:t>Cybersecurity / InfoSec</w:t>
            </w:r>
          </w:p>
        </w:tc>
        <w:tc>
          <w:tcPr>
            <w:tcW w:type="dxa" w:w="1728"/>
          </w:tcPr>
          <w:p>
            <w:r>
              <w:t>10</w:t>
            </w:r>
          </w:p>
        </w:tc>
        <w:tc>
          <w:tcPr>
            <w:tcW w:type="dxa" w:w="1728"/>
          </w:tcPr>
          <w:p>
            <w:r>
              <w:t>M. Hassan</w:t>
            </w:r>
          </w:p>
        </w:tc>
        <w:tc>
          <w:tcPr>
            <w:tcW w:type="dxa" w:w="1728"/>
          </w:tcPr>
          <w:p>
            <w:r>
              <w:t>ACME</w:t>
            </w:r>
          </w:p>
        </w:tc>
      </w:tr>
      <w:tr>
        <w:tc>
          <w:tcPr>
            <w:tcW w:type="dxa" w:w="1728"/>
          </w:tcPr>
          <w:p>
            <w:r>
              <w:t>11</w:t>
            </w:r>
          </w:p>
        </w:tc>
        <w:tc>
          <w:tcPr>
            <w:tcW w:type="dxa" w:w="1728"/>
          </w:tcPr>
          <w:p>
            <w:r>
              <w:t>Independent Model Validation</w:t>
            </w:r>
          </w:p>
        </w:tc>
        <w:tc>
          <w:tcPr>
            <w:tcW w:type="dxa" w:w="1728"/>
          </w:tcPr>
          <w:p>
            <w:r>
              <w:t>6</w:t>
            </w:r>
          </w:p>
        </w:tc>
        <w:tc>
          <w:tcPr>
            <w:tcW w:type="dxa" w:w="1728"/>
          </w:tcPr>
          <w:p>
            <w:r>
              <w:t>P. Okafor</w:t>
            </w:r>
          </w:p>
        </w:tc>
        <w:tc>
          <w:tcPr>
            <w:tcW w:type="dxa" w:w="1728"/>
          </w:tcPr>
          <w:p>
            <w:r>
              <w:t>Pulaski</w:t>
            </w:r>
          </w:p>
        </w:tc>
      </w:tr>
      <w:tr>
        <w:tc>
          <w:tcPr>
            <w:tcW w:type="dxa" w:w="1728"/>
          </w:tcPr>
          <w:p>
            <w:r>
              <w:t>12</w:t>
            </w:r>
          </w:p>
        </w:tc>
        <w:tc>
          <w:tcPr>
            <w:tcW w:type="dxa" w:w="1728"/>
          </w:tcPr>
          <w:p>
            <w:r>
              <w:t>HR / Workforce Planning</w:t>
            </w:r>
          </w:p>
        </w:tc>
        <w:tc>
          <w:tcPr>
            <w:tcW w:type="dxa" w:w="1728"/>
          </w:tcPr>
          <w:p>
            <w:r>
              <w:t>6</w:t>
            </w:r>
          </w:p>
        </w:tc>
        <w:tc>
          <w:tcPr>
            <w:tcW w:type="dxa" w:w="1728"/>
          </w:tcPr>
          <w:p>
            <w:r>
              <w:t>C. Johnson</w:t>
            </w:r>
          </w:p>
        </w:tc>
        <w:tc>
          <w:tcPr>
            <w:tcW w:type="dxa" w:w="1728"/>
          </w:tcPr>
          <w:p>
            <w:r>
              <w:t>ACME</w:t>
            </w:r>
          </w:p>
        </w:tc>
      </w:tr>
      <w:tr>
        <w:tc>
          <w:tcPr>
            <w:tcW w:type="dxa" w:w="1728"/>
          </w:tcPr>
          <w:p>
            <w:r>
              <w:t>13</w:t>
            </w:r>
          </w:p>
        </w:tc>
        <w:tc>
          <w:tcPr>
            <w:tcW w:type="dxa" w:w="1728"/>
          </w:tcPr>
          <w:p>
            <w:r>
              <w:t>Clinical / Medical Policy</w:t>
            </w:r>
          </w:p>
        </w:tc>
        <w:tc>
          <w:tcPr>
            <w:tcW w:type="dxa" w:w="1728"/>
          </w:tcPr>
          <w:p>
            <w:r>
              <w:t>6</w:t>
            </w:r>
          </w:p>
        </w:tc>
        <w:tc>
          <w:tcPr>
            <w:tcW w:type="dxa" w:w="1728"/>
          </w:tcPr>
          <w:p>
            <w:r>
              <w:t>Dr. N. Patel</w:t>
            </w:r>
          </w:p>
        </w:tc>
        <w:tc>
          <w:tcPr>
            <w:tcW w:type="dxa" w:w="1728"/>
          </w:tcPr>
          <w:p>
            <w:r>
              <w:t>ACME</w:t>
            </w:r>
          </w:p>
        </w:tc>
      </w:tr>
      <w:tr>
        <w:tc>
          <w:tcPr>
            <w:tcW w:type="dxa" w:w="1728"/>
          </w:tcPr>
          <w:p>
            <w:r>
              <w:t>14</w:t>
            </w:r>
          </w:p>
        </w:tc>
        <w:tc>
          <w:tcPr>
            <w:tcW w:type="dxa" w:w="1728"/>
          </w:tcPr>
          <w:p>
            <w:r>
              <w:t>Data Privacy Office</w:t>
            </w:r>
          </w:p>
        </w:tc>
        <w:tc>
          <w:tcPr>
            <w:tcW w:type="dxa" w:w="1728"/>
          </w:tcPr>
          <w:p>
            <w:r>
              <w:t>5</w:t>
            </w:r>
          </w:p>
        </w:tc>
        <w:tc>
          <w:tcPr>
            <w:tcW w:type="dxa" w:w="1728"/>
          </w:tcPr>
          <w:p>
            <w:r>
              <w:t>E. Sato</w:t>
            </w:r>
          </w:p>
        </w:tc>
        <w:tc>
          <w:tcPr>
            <w:tcW w:type="dxa" w:w="1728"/>
          </w:tcPr>
          <w:p>
            <w:r>
              <w:t>ACME</w:t>
            </w:r>
          </w:p>
        </w:tc>
      </w:tr>
      <w:tr>
        <w:tc>
          <w:tcPr>
            <w:tcW w:type="dxa" w:w="1728"/>
          </w:tcPr>
          <w:p>
            <w:r>
              <w:t>15</w:t>
            </w:r>
          </w:p>
        </w:tc>
        <w:tc>
          <w:tcPr>
            <w:tcW w:type="dxa" w:w="1728"/>
          </w:tcPr>
          <w:p>
            <w:r>
              <w:t>Corporate Communications</w:t>
            </w:r>
          </w:p>
        </w:tc>
        <w:tc>
          <w:tcPr>
            <w:tcW w:type="dxa" w:w="1728"/>
          </w:tcPr>
          <w:p>
            <w:r>
              <w:t>4</w:t>
            </w:r>
          </w:p>
        </w:tc>
        <w:tc>
          <w:tcPr>
            <w:tcW w:type="dxa" w:w="1728"/>
          </w:tcPr>
          <w:p>
            <w:r>
              <w:t>B. Sullivan</w:t>
            </w:r>
          </w:p>
        </w:tc>
        <w:tc>
          <w:tcPr>
            <w:tcW w:type="dxa" w:w="1728"/>
          </w:tcPr>
          <w:p>
            <w:r>
              <w:t>ACME</w:t>
            </w:r>
          </w:p>
        </w:tc>
      </w:tr>
      <w:tr>
        <w:tc>
          <w:tcPr>
            <w:tcW w:type="dxa" w:w="1728"/>
          </w:tcPr>
          <w:p>
            <w:r>
              <w:t>16</w:t>
            </w:r>
          </w:p>
        </w:tc>
        <w:tc>
          <w:tcPr>
            <w:tcW w:type="dxa" w:w="1728"/>
          </w:tcPr>
          <w:p>
            <w:r>
              <w:t>Customer UX / Design</w:t>
            </w:r>
          </w:p>
        </w:tc>
        <w:tc>
          <w:tcPr>
            <w:tcW w:type="dxa" w:w="1728"/>
          </w:tcPr>
          <w:p>
            <w:r>
              <w:t>8</w:t>
            </w:r>
          </w:p>
        </w:tc>
        <w:tc>
          <w:tcPr>
            <w:tcW w:type="dxa" w:w="1728"/>
          </w:tcPr>
          <w:p>
            <w:r>
              <w:t>J. Lee</w:t>
            </w:r>
          </w:p>
        </w:tc>
        <w:tc>
          <w:tcPr>
            <w:tcW w:type="dxa" w:w="1728"/>
          </w:tcPr>
          <w:p>
            <w:r>
              <w:t>Pulaski</w:t>
            </w:r>
          </w:p>
        </w:tc>
      </w:tr>
      <w:tr>
        <w:tc>
          <w:tcPr>
            <w:tcW w:type="dxa" w:w="1728"/>
          </w:tcPr>
          <w:p>
            <w:r>
              <w:t>17</w:t>
            </w:r>
          </w:p>
        </w:tc>
        <w:tc>
          <w:tcPr>
            <w:tcW w:type="dxa" w:w="1728"/>
          </w:tcPr>
          <w:p>
            <w:r>
              <w:t>Change Management &amp; Training</w:t>
            </w:r>
          </w:p>
        </w:tc>
        <w:tc>
          <w:tcPr>
            <w:tcW w:type="dxa" w:w="1728"/>
          </w:tcPr>
          <w:p>
            <w:r>
              <w:t>8</w:t>
            </w:r>
          </w:p>
        </w:tc>
        <w:tc>
          <w:tcPr>
            <w:tcW w:type="dxa" w:w="1728"/>
          </w:tcPr>
          <w:p>
            <w:r>
              <w:t>G. Okonkwo</w:t>
            </w:r>
          </w:p>
        </w:tc>
        <w:tc>
          <w:tcPr>
            <w:tcW w:type="dxa" w:w="1728"/>
          </w:tcPr>
          <w:p>
            <w:r>
              <w:t>Pulaski</w:t>
            </w:r>
          </w:p>
        </w:tc>
      </w:tr>
      <w:tr>
        <w:tc>
          <w:tcPr>
            <w:tcW w:type="dxa" w:w="1728"/>
          </w:tcPr>
          <w:p>
            <w:r>
              <w:t>18</w:t>
            </w:r>
          </w:p>
        </w:tc>
        <w:tc>
          <w:tcPr>
            <w:tcW w:type="dxa" w:w="1728"/>
          </w:tcPr>
          <w:p>
            <w:r>
              <w:t>QA &amp; Testing</w:t>
            </w:r>
          </w:p>
        </w:tc>
        <w:tc>
          <w:tcPr>
            <w:tcW w:type="dxa" w:w="1728"/>
          </w:tcPr>
          <w:p>
            <w:r>
              <w:t>18</w:t>
            </w:r>
          </w:p>
        </w:tc>
        <w:tc>
          <w:tcPr>
            <w:tcW w:type="dxa" w:w="1728"/>
          </w:tcPr>
          <w:p>
            <w:r>
              <w:t>V. Müller</w:t>
            </w:r>
          </w:p>
        </w:tc>
        <w:tc>
          <w:tcPr>
            <w:tcW w:type="dxa" w:w="1728"/>
          </w:tcPr>
          <w:p>
            <w:r>
              <w:t>Pulaski</w:t>
            </w:r>
          </w:p>
        </w:tc>
      </w:tr>
      <w:tr>
        <w:tc>
          <w:tcPr>
            <w:tcW w:type="dxa" w:w="1728"/>
          </w:tcPr>
          <w:p>
            <w:r>
              <w:t>19</w:t>
            </w:r>
          </w:p>
        </w:tc>
        <w:tc>
          <w:tcPr>
            <w:tcW w:type="dxa" w:w="1728"/>
          </w:tcPr>
          <w:p>
            <w:r>
              <w:t>IT Operations / Infrastructure</w:t>
            </w:r>
          </w:p>
        </w:tc>
        <w:tc>
          <w:tcPr>
            <w:tcW w:type="dxa" w:w="1728"/>
          </w:tcPr>
          <w:p>
            <w:r>
              <w:t>10</w:t>
            </w:r>
          </w:p>
        </w:tc>
        <w:tc>
          <w:tcPr>
            <w:tcW w:type="dxa" w:w="1728"/>
          </w:tcPr>
          <w:p>
            <w:r>
              <w:t>H. Nakamura</w:t>
            </w:r>
          </w:p>
        </w:tc>
        <w:tc>
          <w:tcPr>
            <w:tcW w:type="dxa" w:w="1728"/>
          </w:tcPr>
          <w:p>
            <w:r>
              <w:t>ACME</w:t>
            </w:r>
          </w:p>
        </w:tc>
      </w:tr>
      <w:tr>
        <w:tc>
          <w:tcPr>
            <w:tcW w:type="dxa" w:w="1728"/>
          </w:tcPr>
          <w:p>
            <w:r>
              <w:t>20</w:t>
            </w:r>
          </w:p>
        </w:tc>
        <w:tc>
          <w:tcPr>
            <w:tcW w:type="dxa" w:w="1728"/>
          </w:tcPr>
          <w:p>
            <w:r>
              <w:t>Data &amp; Cloud AI Platform Foundation</w:t>
            </w:r>
          </w:p>
        </w:tc>
        <w:tc>
          <w:tcPr>
            <w:tcW w:type="dxa" w:w="1728"/>
          </w:tcPr>
          <w:p>
            <w:r>
              <w:t>20</w:t>
            </w:r>
          </w:p>
        </w:tc>
        <w:tc>
          <w:tcPr>
            <w:tcW w:type="dxa" w:w="1728"/>
          </w:tcPr>
          <w:p>
            <w:r>
              <w:t>W. Kumar</w:t>
            </w:r>
          </w:p>
        </w:tc>
        <w:tc>
          <w:tcPr>
            <w:tcW w:type="dxa" w:w="1728"/>
          </w:tcPr>
          <w:p>
            <w:r>
              <w:t>Pulaski</w:t>
            </w:r>
          </w:p>
        </w:tc>
      </w:tr>
      <w:tr>
        <w:tc>
          <w:tcPr>
            <w:tcW w:type="dxa" w:w="1728"/>
          </w:tcPr>
          <w:p>
            <w:r>
              <w:t>21</w:t>
            </w:r>
          </w:p>
        </w:tc>
        <w:tc>
          <w:tcPr>
            <w:tcW w:type="dxa" w:w="1728"/>
          </w:tcPr>
          <w:p>
            <w:r>
              <w:t>Claims &amp; Prior Auth AI (BRD-01)</w:t>
            </w:r>
          </w:p>
        </w:tc>
        <w:tc>
          <w:tcPr>
            <w:tcW w:type="dxa" w:w="1728"/>
          </w:tcPr>
          <w:p>
            <w:r>
              <w:t>28</w:t>
            </w:r>
          </w:p>
        </w:tc>
        <w:tc>
          <w:tcPr>
            <w:tcW w:type="dxa" w:w="1728"/>
          </w:tcPr>
          <w:p>
            <w:r>
              <w:t>F. Bennett</w:t>
            </w:r>
          </w:p>
        </w:tc>
        <w:tc>
          <w:tcPr>
            <w:tcW w:type="dxa" w:w="1728"/>
          </w:tcPr>
          <w:p>
            <w:r>
              <w:t>Pulaski</w:t>
            </w:r>
          </w:p>
        </w:tc>
      </w:tr>
      <w:tr>
        <w:tc>
          <w:tcPr>
            <w:tcW w:type="dxa" w:w="1728"/>
          </w:tcPr>
          <w:p>
            <w:r>
              <w:t>22</w:t>
            </w:r>
          </w:p>
        </w:tc>
        <w:tc>
          <w:tcPr>
            <w:tcW w:type="dxa" w:w="1728"/>
          </w:tcPr>
          <w:p>
            <w:r>
              <w:t>Member &amp; Provider Experience AI (BRD-02)</w:t>
            </w:r>
          </w:p>
        </w:tc>
        <w:tc>
          <w:tcPr>
            <w:tcW w:type="dxa" w:w="1728"/>
          </w:tcPr>
          <w:p>
            <w:r>
              <w:t>22</w:t>
            </w:r>
          </w:p>
        </w:tc>
        <w:tc>
          <w:tcPr>
            <w:tcW w:type="dxa" w:w="1728"/>
          </w:tcPr>
          <w:p>
            <w:r>
              <w:t>X. Garcia</w:t>
            </w:r>
          </w:p>
        </w:tc>
        <w:tc>
          <w:tcPr>
            <w:tcW w:type="dxa" w:w="1728"/>
          </w:tcPr>
          <w:p>
            <w:r>
              <w:t>Pulaski</w:t>
            </w:r>
          </w:p>
        </w:tc>
      </w:tr>
      <w:tr>
        <w:tc>
          <w:tcPr>
            <w:tcW w:type="dxa" w:w="1728"/>
          </w:tcPr>
          <w:p>
            <w:r>
              <w:t>23</w:t>
            </w:r>
          </w:p>
        </w:tc>
        <w:tc>
          <w:tcPr>
            <w:tcW w:type="dxa" w:w="1728"/>
          </w:tcPr>
          <w:p>
            <w:r>
              <w:t>Underwriting &amp; Risk AI (BRD-03)</w:t>
            </w:r>
          </w:p>
        </w:tc>
        <w:tc>
          <w:tcPr>
            <w:tcW w:type="dxa" w:w="1728"/>
          </w:tcPr>
          <w:p>
            <w:r>
              <w:t>14</w:t>
            </w:r>
          </w:p>
        </w:tc>
        <w:tc>
          <w:tcPr>
            <w:tcW w:type="dxa" w:w="1728"/>
          </w:tcPr>
          <w:p>
            <w:r>
              <w:t>Z. Thompson</w:t>
            </w:r>
          </w:p>
        </w:tc>
        <w:tc>
          <w:tcPr>
            <w:tcW w:type="dxa" w:w="1728"/>
          </w:tcPr>
          <w:p>
            <w:r>
              <w:t>Pulaski</w:t>
            </w:r>
          </w:p>
        </w:tc>
      </w:tr>
      <w:tr>
        <w:tc>
          <w:tcPr>
            <w:tcW w:type="dxa" w:w="1728"/>
          </w:tcPr>
          <w:p>
            <w:r>
              <w:t>24</w:t>
            </w:r>
          </w:p>
        </w:tc>
        <w:tc>
          <w:tcPr>
            <w:tcW w:type="dxa" w:w="1728"/>
          </w:tcPr>
          <w:p>
            <w:r>
              <w:t>Customer Service Operations</w:t>
            </w:r>
          </w:p>
        </w:tc>
        <w:tc>
          <w:tcPr>
            <w:tcW w:type="dxa" w:w="1728"/>
          </w:tcPr>
          <w:p>
            <w:r>
              <w:t>12</w:t>
            </w:r>
          </w:p>
        </w:tc>
        <w:tc>
          <w:tcPr>
            <w:tcW w:type="dxa" w:w="1728"/>
          </w:tcPr>
          <w:p>
            <w:r>
              <w:t>M. Washington</w:t>
            </w:r>
          </w:p>
        </w:tc>
        <w:tc>
          <w:tcPr>
            <w:tcW w:type="dxa" w:w="1728"/>
          </w:tcPr>
          <w:p>
            <w:r>
              <w:t>ACME</w:t>
            </w:r>
          </w:p>
        </w:tc>
      </w:tr>
      <w:tr>
        <w:tc>
          <w:tcPr>
            <w:tcW w:type="dxa" w:w="1728"/>
          </w:tcPr>
          <w:p>
            <w:r>
              <w:t>25</w:t>
            </w:r>
          </w:p>
        </w:tc>
        <w:tc>
          <w:tcPr>
            <w:tcW w:type="dxa" w:w="1728"/>
          </w:tcPr>
          <w:p>
            <w:r>
              <w:t>User Acceptance Testing (UAT)</w:t>
            </w:r>
          </w:p>
        </w:tc>
        <w:tc>
          <w:tcPr>
            <w:tcW w:type="dxa" w:w="1728"/>
          </w:tcPr>
          <w:p>
            <w:r>
              <w:t>11</w:t>
            </w:r>
          </w:p>
        </w:tc>
        <w:tc>
          <w:tcPr>
            <w:tcW w:type="dxa" w:w="1728"/>
          </w:tcPr>
          <w:p>
            <w:r>
              <w:t>Y. Sorensen6</w:t>
            </w:r>
          </w:p>
        </w:tc>
        <w:tc>
          <w:tcPr>
            <w:tcW w:type="dxa" w:w="1728"/>
          </w:tcPr>
          <w:p>
            <w:r>
              <w:t>ACME</w:t>
            </w:r>
          </w:p>
        </w:tc>
      </w:tr>
    </w:tbl>
    <w:p/>
    <w:p>
      <w:pPr>
        <w:pStyle w:val="Heading2"/>
      </w:pPr>
      <w:r>
        <w:t>11. Program Director Authority &amp; Limitations</w:t>
      </w:r>
    </w:p>
    <w:p>
      <w:pPr>
        <w:pStyle w:val="Heading3"/>
      </w:pPr>
      <w:r>
        <w:t>11.1 Authority Granted</w:t>
      </w:r>
    </w:p>
    <w:p>
      <w:r>
        <w:t>The Program Director (C. Tyrrell, Pulaski Advisory Group) is granted the following authority by this Charter:</w:t>
      </w:r>
    </w:p>
    <w:p>
      <w:pPr>
        <w:pStyle w:val="ListBullet"/>
      </w:pPr>
      <w:r>
        <w:t>Day-to-day delivery coordination across all 25 teams (dotted-line matrix authority)</w:t>
      </w:r>
    </w:p>
    <w:p>
      <w:pPr>
        <w:pStyle w:val="ListBullet"/>
      </w:pPr>
      <w:r>
        <w:t>Schedule management within ±2 weeks of baselined milestones without board approval</w:t>
      </w:r>
    </w:p>
    <w:p>
      <w:pPr>
        <w:pStyle w:val="ListBullet"/>
      </w:pPr>
      <w:r>
        <w:t>Resource changes affecting fewer than 5 FTEs without board approval</w:t>
      </w:r>
    </w:p>
    <w:p>
      <w:pPr>
        <w:pStyle w:val="ListBullet"/>
      </w:pPr>
      <w:r>
        <w:t>Procurement decisions under $500,000 (with CFO concurrence)</w:t>
      </w:r>
    </w:p>
    <w:p>
      <w:pPr>
        <w:pStyle w:val="ListBullet"/>
      </w:pPr>
      <w:r>
        <w:t>Contingency drawdowns up to $500,000 (with CFO joint approval and documented root cause)</w:t>
      </w:r>
    </w:p>
    <w:p>
      <w:pPr>
        <w:pStyle w:val="ListBullet"/>
      </w:pPr>
      <w:r>
        <w:t>Cross-BRD technical decisions (via Scrum-of-Scrums coordination)</w:t>
      </w:r>
    </w:p>
    <w:p>
      <w:pPr>
        <w:pStyle w:val="ListBullet"/>
      </w:pPr>
      <w:r>
        <w:t>Escalation to any governance board or Executive Sponsor at any time</w:t>
      </w:r>
    </w:p>
    <w:p>
      <w:pPr>
        <w:pStyle w:val="Heading3"/>
      </w:pPr>
      <w:r>
        <w:t>11.2 Authority Limitations</w:t>
      </w:r>
    </w:p>
    <w:p>
      <w:pPr>
        <w:pStyle w:val="ListBullet"/>
      </w:pPr>
      <w:r>
        <w:t>The Program Director cannot authorize scope changes, regardless of size — all scope changes require board approval</w:t>
      </w:r>
    </w:p>
    <w:p>
      <w:pPr>
        <w:pStyle w:val="ListBullet"/>
      </w:pPr>
      <w:r>
        <w:t>The Program Director cannot override the AI Governance Board's model validation decisions</w:t>
      </w:r>
    </w:p>
    <w:p>
      <w:pPr>
        <w:pStyle w:val="ListBullet"/>
      </w:pPr>
      <w:r>
        <w:t>The Program Director cannot override the EARB's architecture decisions</w:t>
      </w:r>
    </w:p>
    <w:p>
      <w:pPr>
        <w:pStyle w:val="ListBullet"/>
      </w:pPr>
      <w:r>
        <w:t>The Program Director cannot approve budget changes &gt;$500,000 or schedule changes &gt;2 weeks without Executive Steering Board approval</w:t>
      </w:r>
    </w:p>
    <w:p>
      <w:pPr>
        <w:pStyle w:val="ListBullet"/>
      </w:pPr>
      <w:r>
        <w:t>The Program Director cannot alter the governance structure defined in this Charter or the Governance Model without Executive Steering Board approval</w:t>
      </w:r>
    </w:p>
    <w:p>
      <w:pPr>
        <w:pStyle w:val="ListBullet"/>
      </w:pPr>
      <w:r>
        <w:t>The Program Director does not have solid-line management authority over team members — each team lead reports to their home organization (ACME department head or Pulaski engagement manager). The Program Director coordinates; he does not manage.</w:t>
      </w:r>
    </w:p>
    <w:p>
      <w:pPr>
        <w:pStyle w:val="Heading3"/>
      </w:pPr>
      <w:r>
        <w:t>11.3 Program Director Accountability</w:t>
      </w:r>
    </w:p>
    <w:p>
      <w:r>
        <w:t>The Program Director is accountable to the Executive Sponsor (M. Kavanagh) for: on-time delivery of all phase-gate milestones, budget management within authorization, risk management per the RAIDD framework, governance compliance per this Charter and the Governance Model, and stakeholder communication per the Communications Plan. The Program Director reports to the Executive Steering Board bi-weekly and at every phase gate.</w:t>
      </w:r>
    </w:p>
    <w:p>
      <w:pPr>
        <w:pStyle w:val="Heading2"/>
      </w:pPr>
      <w:r>
        <w:t>12. Stakeholder Identification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Stakeholder Group</w:t>
            </w:r>
          </w:p>
        </w:tc>
        <w:tc>
          <w:tcPr>
            <w:tcW w:type="dxa" w:w="2160"/>
          </w:tcPr>
          <w:p>
            <w:r>
              <w:t>Interest</w:t>
            </w:r>
          </w:p>
        </w:tc>
        <w:tc>
          <w:tcPr>
            <w:tcW w:type="dxa" w:w="2160"/>
          </w:tcPr>
          <w:p>
            <w:r>
              <w:t>Influence</w:t>
            </w:r>
          </w:p>
        </w:tc>
        <w:tc>
          <w:tcPr>
            <w:tcW w:type="dxa" w:w="2160"/>
          </w:tcPr>
          <w:p>
            <w:r>
              <w:t>Engagement Strategy</w:t>
            </w:r>
          </w:p>
        </w:tc>
      </w:tr>
      <w:tr>
        <w:tc>
          <w:tcPr>
            <w:tcW w:type="dxa" w:w="2160"/>
          </w:tcPr>
          <w:p>
            <w:r>
              <w:t>ACME Board of Directors</w:t>
            </w:r>
          </w:p>
        </w:tc>
        <w:tc>
          <w:tcPr>
            <w:tcW w:type="dxa" w:w="2160"/>
          </w:tcPr>
          <w:p>
            <w:r>
              <w:t>Strategic investment return, regulatory risk</w:t>
            </w:r>
          </w:p>
        </w:tc>
        <w:tc>
          <w:tcPr>
            <w:tcW w:type="dxa" w:w="2160"/>
          </w:tcPr>
          <w:p>
            <w:r>
              <w:t>High</w:t>
            </w:r>
          </w:p>
        </w:tc>
        <w:tc>
          <w:tcPr>
            <w:tcW w:type="dxa" w:w="2160"/>
          </w:tcPr>
          <w:p>
            <w:r>
              <w:t>Quarterly briefings via Audit Committee Liaison (A. Thompson)</w:t>
            </w:r>
          </w:p>
        </w:tc>
      </w:tr>
      <w:tr>
        <w:tc>
          <w:tcPr>
            <w:tcW w:type="dxa" w:w="2160"/>
          </w:tcPr>
          <w:p>
            <w:r>
              <w:t>Executive Steering Board Members</w:t>
            </w:r>
          </w:p>
        </w:tc>
        <w:tc>
          <w:tcPr>
            <w:tcW w:type="dxa" w:w="2160"/>
          </w:tcPr>
          <w:p>
            <w:r>
              <w:t>Program success, budget, risk</w:t>
            </w:r>
          </w:p>
        </w:tc>
        <w:tc>
          <w:tcPr>
            <w:tcW w:type="dxa" w:w="2160"/>
          </w:tcPr>
          <w:p>
            <w:r>
              <w:t>High</w:t>
            </w:r>
          </w:p>
        </w:tc>
        <w:tc>
          <w:tcPr>
            <w:tcW w:type="dxa" w:w="2160"/>
          </w:tcPr>
          <w:p>
            <w:r>
              <w:t>Bi-weekly meetings, phase-gate sign-off, monthly status reports</w:t>
            </w:r>
          </w:p>
        </w:tc>
      </w:tr>
      <w:tr>
        <w:tc>
          <w:tcPr>
            <w:tcW w:type="dxa" w:w="2160"/>
          </w:tcPr>
          <w:p>
            <w:r>
              <w:t>ACME Members (4M)</w:t>
            </w:r>
          </w:p>
        </w:tc>
        <w:tc>
          <w:tcPr>
            <w:tcW w:type="dxa" w:w="2160"/>
          </w:tcPr>
          <w:p>
            <w:r>
              <w:t>PA speed, service quality, fairness</w:t>
            </w:r>
          </w:p>
        </w:tc>
        <w:tc>
          <w:tcPr>
            <w:tcW w:type="dxa" w:w="2160"/>
          </w:tcPr>
          <w:p>
            <w:r>
              <w:t>Low (indirect)</w:t>
            </w:r>
          </w:p>
        </w:tc>
        <w:tc>
          <w:tcPr>
            <w:tcW w:type="dxa" w:w="2160"/>
          </w:tcPr>
          <w:p>
            <w:r>
              <w:t>Quality and fairness testing protects their interests; member satisfaction tracked</w:t>
            </w:r>
          </w:p>
        </w:tc>
      </w:tr>
      <w:tr>
        <w:tc>
          <w:tcPr>
            <w:tcW w:type="dxa" w:w="2160"/>
          </w:tcPr>
          <w:p>
            <w:r>
              <w:t>Provider Network</w:t>
            </w:r>
          </w:p>
        </w:tc>
        <w:tc>
          <w:tcPr>
            <w:tcW w:type="dxa" w:w="2160"/>
          </w:tcPr>
          <w:p>
            <w:r>
              <w:t>PA speed, communication clarity, portal usability</w:t>
            </w:r>
          </w:p>
        </w:tc>
        <w:tc>
          <w:tcPr>
            <w:tcW w:type="dxa" w:w="2160"/>
          </w:tcPr>
          <w:p>
            <w:r>
              <w:t>Medium</w:t>
            </w:r>
          </w:p>
        </w:tc>
        <w:tc>
          <w:tcPr>
            <w:tcW w:type="dxa" w:w="2160"/>
          </w:tcPr>
          <w:p>
            <w:r>
              <w:t>Provider-facing features in BRD-02; provider communications</w:t>
            </w:r>
          </w:p>
        </w:tc>
      </w:tr>
      <w:tr>
        <w:tc>
          <w:tcPr>
            <w:tcW w:type="dxa" w:w="2160"/>
          </w:tcPr>
          <w:p>
            <w:r>
              <w:t>State Regulators / CMS</w:t>
            </w:r>
          </w:p>
        </w:tc>
        <w:tc>
          <w:tcPr>
            <w:tcW w:type="dxa" w:w="2160"/>
          </w:tcPr>
          <w:p>
            <w:r>
              <w:t>Compliance, consumer protection, AI governance</w:t>
            </w:r>
          </w:p>
        </w:tc>
        <w:tc>
          <w:tcPr>
            <w:tcW w:type="dxa" w:w="2160"/>
          </w:tcPr>
          <w:p>
            <w:r>
              <w:t>High</w:t>
            </w:r>
          </w:p>
        </w:tc>
        <w:tc>
          <w:tcPr>
            <w:tcW w:type="dxa" w:w="2160"/>
          </w:tcPr>
          <w:p>
            <w:r>
              <w:t>Quarterly regulatory briefings (R. Thorne); proactive transparency</w:t>
            </w:r>
          </w:p>
        </w:tc>
      </w:tr>
      <w:tr>
        <w:tc>
          <w:tcPr>
            <w:tcW w:type="dxa" w:w="2160"/>
          </w:tcPr>
          <w:p>
            <w:r>
              <w:t>Brokers / Agents</w:t>
            </w:r>
          </w:p>
        </w:tc>
        <w:tc>
          <w:tcPr>
            <w:tcW w:type="dxa" w:w="2160"/>
          </w:tcPr>
          <w:p>
            <w:r>
              <w:t>Underwriting speed, competitive pricing</w:t>
            </w:r>
          </w:p>
        </w:tc>
        <w:tc>
          <w:tcPr>
            <w:tcW w:type="dxa" w:w="2160"/>
          </w:tcPr>
          <w:p>
            <w:r>
              <w:t>Medium</w:t>
            </w:r>
          </w:p>
        </w:tc>
        <w:tc>
          <w:tcPr>
            <w:tcW w:type="dxa" w:w="2160"/>
          </w:tcPr>
          <w:p>
            <w:r>
              <w:t>BRD-03 directly improves broker experience; indirect communication</w:t>
            </w:r>
          </w:p>
        </w:tc>
      </w:tr>
      <w:tr>
        <w:tc>
          <w:tcPr>
            <w:tcW w:type="dxa" w:w="2160"/>
          </w:tcPr>
          <w:p>
            <w:r>
              <w:t>Frontline Operations Staff</w:t>
            </w:r>
          </w:p>
        </w:tc>
        <w:tc>
          <w:tcPr>
            <w:tcW w:type="dxa" w:w="2160"/>
          </w:tcPr>
          <w:p>
            <w:r>
              <w:t>Job impact, workflow changes, training</w:t>
            </w:r>
          </w:p>
        </w:tc>
        <w:tc>
          <w:tcPr>
            <w:tcW w:type="dxa" w:w="2160"/>
          </w:tcPr>
          <w:p>
            <w:r>
              <w:t>Medium</w:t>
            </w:r>
          </w:p>
        </w:tc>
        <w:tc>
          <w:tcPr>
            <w:tcW w:type="dxa" w:w="2160"/>
          </w:tcPr>
          <w:p>
            <w:r>
              <w:t>Change management program (G. Okonkwo); phased rollout; internal comms</w:t>
            </w:r>
          </w:p>
        </w:tc>
      </w:tr>
      <w:tr>
        <w:tc>
          <w:tcPr>
            <w:tcW w:type="dxa" w:w="2160"/>
          </w:tcPr>
          <w:p>
            <w:r>
              <w:t>Pulaski Advisory Group Leadership</w:t>
            </w:r>
          </w:p>
        </w:tc>
        <w:tc>
          <w:tcPr>
            <w:tcW w:type="dxa" w:w="2160"/>
          </w:tcPr>
          <w:p>
            <w:r>
              <w:t>Engagement success, client relationship</w:t>
            </w:r>
          </w:p>
        </w:tc>
        <w:tc>
          <w:tcPr>
            <w:tcW w:type="dxa" w:w="2160"/>
          </w:tcPr>
          <w:p>
            <w:r>
              <w:t>Medium</w:t>
            </w:r>
          </w:p>
        </w:tc>
        <w:tc>
          <w:tcPr>
            <w:tcW w:type="dxa" w:w="2160"/>
          </w:tcPr>
          <w:p>
            <w:r>
              <w:t>Monthly delivery reviews; SOW performance tracking</w:t>
            </w:r>
          </w:p>
        </w:tc>
      </w:tr>
    </w:tbl>
    <w:p/>
    <w:p/>
    <w:p>
      <w:r>
        <w:rPr>
          <w:b/>
          <w:color w:val="1B3A6B"/>
          <w:sz w:val="28"/>
        </w:rPr>
        <w:t>Part IV — Financial Authorization</w:t>
      </w:r>
    </w:p>
    <w:p>
      <w:pPr>
        <w:pStyle w:val="Heading2"/>
      </w:pPr>
      <w:r>
        <w:t>13. Budget Authorization</w:t>
      </w:r>
    </w:p>
    <w:p>
      <w:r>
        <w:t>This Charter authorizes total program expenditure of$99,000,000across three fiscal years.</w:t>
      </w:r>
    </w:p>
    <w:p>
      <w:pPr>
        <w:pStyle w:val="Heading3"/>
      </w:pPr>
      <w:r>
        <w:t>13.1 Budget by Cost Category</w:t>
      </w:r>
    </w:p>
    <w:tbl>
      <w:tblPr>
        <w:tblStyle w:val="TableGrid"/>
        <w:tblW w:type="auto" w:w="0"/>
        <w:tblLook w:firstColumn="1" w:firstRow="1" w:lastColumn="0" w:lastRow="0" w:noHBand="0" w:noVBand="1" w:val="04A0"/>
      </w:tblPr>
      <w:tblGrid>
        <w:gridCol w:w="2880"/>
        <w:gridCol w:w="2880"/>
        <w:gridCol w:w="2880"/>
      </w:tblGrid>
      <w:tr>
        <w:tc>
          <w:tcPr>
            <w:tcW w:type="dxa" w:w="2880"/>
          </w:tcPr>
          <w:p>
            <w:r>
              <w:t>Category</w:t>
            </w:r>
          </w:p>
        </w:tc>
        <w:tc>
          <w:tcPr>
            <w:tcW w:type="dxa" w:w="2880"/>
          </w:tcPr>
          <w:p>
            <w:r>
              <w:t>Amount</w:t>
            </w:r>
          </w:p>
        </w:tc>
        <w:tc>
          <w:tcPr>
            <w:tcW w:type="dxa" w:w="2880"/>
          </w:tcPr>
          <w:p>
            <w:r>
              <w:t>% of Total</w:t>
            </w:r>
          </w:p>
        </w:tc>
      </w:tr>
      <w:tr>
        <w:tc>
          <w:tcPr>
            <w:tcW w:type="dxa" w:w="2880"/>
          </w:tcPr>
          <w:p>
            <w:r>
              <w:t>Internal FTE Labor (ACME, non-billable to Pulaski SOW)</w:t>
            </w:r>
          </w:p>
        </w:tc>
        <w:tc>
          <w:tcPr>
            <w:tcW w:type="dxa" w:w="2880"/>
          </w:tcPr>
          <w:p>
            <w:r>
              <w:t>$19,600,000</w:t>
            </w:r>
          </w:p>
        </w:tc>
        <w:tc>
          <w:tcPr>
            <w:tcW w:type="dxa" w:w="2880"/>
          </w:tcPr>
          <w:p>
            <w:r>
              <w:t>19.8%</w:t>
            </w:r>
          </w:p>
        </w:tc>
      </w:tr>
      <w:tr>
        <w:tc>
          <w:tcPr>
            <w:tcW w:type="dxa" w:w="2880"/>
          </w:tcPr>
          <w:p>
            <w:r>
              <w:t>Onshore Consultant Labor (Pulaski, billable)</w:t>
            </w:r>
          </w:p>
        </w:tc>
        <w:tc>
          <w:tcPr>
            <w:tcW w:type="dxa" w:w="2880"/>
          </w:tcPr>
          <w:p>
            <w:r>
              <w:t>$27,400,000</w:t>
            </w:r>
          </w:p>
        </w:tc>
        <w:tc>
          <w:tcPr>
            <w:tcW w:type="dxa" w:w="2880"/>
          </w:tcPr>
          <w:p>
            <w:r>
              <w:t>27.7%</w:t>
            </w:r>
          </w:p>
        </w:tc>
      </w:tr>
      <w:tr>
        <w:tc>
          <w:tcPr>
            <w:tcW w:type="dxa" w:w="2880"/>
          </w:tcPr>
          <w:p>
            <w:r>
              <w:t>Offshore Consultant Labor (Pulaski, billable)</w:t>
            </w:r>
          </w:p>
        </w:tc>
        <w:tc>
          <w:tcPr>
            <w:tcW w:type="dxa" w:w="2880"/>
          </w:tcPr>
          <w:p>
            <w:r>
              <w:t>$14,200,000</w:t>
            </w:r>
          </w:p>
        </w:tc>
        <w:tc>
          <w:tcPr>
            <w:tcW w:type="dxa" w:w="2880"/>
          </w:tcPr>
          <w:p>
            <w:r>
              <w:t>14.3%</w:t>
            </w:r>
          </w:p>
        </w:tc>
      </w:tr>
      <w:tr>
        <w:tc>
          <w:tcPr>
            <w:tcW w:type="dxa" w:w="2880"/>
          </w:tcPr>
          <w:p>
            <w:r>
              <w:t>Cloud &amp; AI Platform Infrastructure</w:t>
            </w:r>
          </w:p>
        </w:tc>
        <w:tc>
          <w:tcPr>
            <w:tcW w:type="dxa" w:w="2880"/>
          </w:tcPr>
          <w:p>
            <w:r>
              <w:t>$26,900,000</w:t>
            </w:r>
          </w:p>
        </w:tc>
        <w:tc>
          <w:tcPr>
            <w:tcW w:type="dxa" w:w="2880"/>
          </w:tcPr>
          <w:p>
            <w:r>
              <w:t>27.2%</w:t>
            </w:r>
          </w:p>
        </w:tc>
      </w:tr>
      <w:tr>
        <w:tc>
          <w:tcPr>
            <w:tcW w:type="dxa" w:w="2880"/>
          </w:tcPr>
          <w:p>
            <w:r>
              <w:t>Tooling (Governance, Compliance, QA/Test Automation)</w:t>
            </w:r>
          </w:p>
        </w:tc>
        <w:tc>
          <w:tcPr>
            <w:tcW w:type="dxa" w:w="2880"/>
          </w:tcPr>
          <w:p>
            <w:r>
              <w:t>$1,900,000</w:t>
            </w:r>
          </w:p>
        </w:tc>
        <w:tc>
          <w:tcPr>
            <w:tcW w:type="dxa" w:w="2880"/>
          </w:tcPr>
          <w:p>
            <w:r>
              <w:t>1.9%</w:t>
            </w:r>
          </w:p>
        </w:tc>
      </w:tr>
      <w:tr>
        <w:tc>
          <w:tcPr>
            <w:tcW w:type="dxa" w:w="2880"/>
          </w:tcPr>
          <w:p>
            <w:r>
              <w:t>Contingency Reserve</w:t>
            </w:r>
          </w:p>
        </w:tc>
        <w:tc>
          <w:tcPr>
            <w:tcW w:type="dxa" w:w="2880"/>
          </w:tcPr>
          <w:p>
            <w:r>
              <w:t>$9,000,000</w:t>
            </w:r>
          </w:p>
        </w:tc>
        <w:tc>
          <w:tcPr>
            <w:tcW w:type="dxa" w:w="2880"/>
          </w:tcPr>
          <w:p>
            <w:r>
              <w:t>9.1%</w:t>
            </w:r>
          </w:p>
        </w:tc>
      </w:tr>
      <w:tr>
        <w:tc>
          <w:tcPr>
            <w:tcW w:type="dxa" w:w="2880"/>
          </w:tcPr>
          <w:p>
            <w:r>
              <w:t>TOTAL</w:t>
            </w:r>
          </w:p>
        </w:tc>
        <w:tc>
          <w:tcPr>
            <w:tcW w:type="dxa" w:w="2880"/>
          </w:tcPr>
          <w:p>
            <w:r>
              <w:t>$99,000,000</w:t>
            </w:r>
          </w:p>
        </w:tc>
        <w:tc>
          <w:tcPr>
            <w:tcW w:type="dxa" w:w="2880"/>
          </w:tcPr>
          <w:p>
            <w:r>
              <w:t>100%</w:t>
            </w:r>
          </w:p>
        </w:tc>
      </w:tr>
    </w:tbl>
    <w:p/>
    <w:p>
      <w:pPr>
        <w:pStyle w:val="Heading2"/>
      </w:pPr>
      <w:r>
        <w:t>14. SOW Structure &amp; Fee Schedule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SOW</w:t>
            </w:r>
          </w:p>
        </w:tc>
        <w:tc>
          <w:tcPr>
            <w:tcW w:type="dxa" w:w="2160"/>
          </w:tcPr>
          <w:p>
            <w:r>
              <w:t>Period</w:t>
            </w:r>
          </w:p>
        </w:tc>
        <w:tc>
          <w:tcPr>
            <w:tcW w:type="dxa" w:w="2160"/>
          </w:tcPr>
          <w:p>
            <w:r>
              <w:t>Fee</w:t>
            </w:r>
          </w:p>
        </w:tc>
        <w:tc>
          <w:tcPr>
            <w:tcW w:type="dxa" w:w="2160"/>
          </w:tcPr>
          <w:p>
            <w:r>
              <w:t>Milestones</w:t>
            </w:r>
          </w:p>
        </w:tc>
      </w:tr>
      <w:tr>
        <w:tc>
          <w:tcPr>
            <w:tcW w:type="dxa" w:w="2160"/>
          </w:tcPr>
          <w:p>
            <w:r>
              <w:t>SOW-01 (Year 1)</w:t>
            </w:r>
          </w:p>
        </w:tc>
        <w:tc>
          <w:tcPr>
            <w:tcW w:type="dxa" w:w="2160"/>
          </w:tcPr>
          <w:p>
            <w:r>
              <w:t>Aug 2026 – Sep 2027</w:t>
            </w:r>
          </w:p>
        </w:tc>
        <w:tc>
          <w:tcPr>
            <w:tcW w:type="dxa" w:w="2160"/>
          </w:tcPr>
          <w:p>
            <w:r>
              <w:t>$27,720,000</w:t>
            </w:r>
          </w:p>
        </w:tc>
        <w:tc>
          <w:tcPr>
            <w:tcW w:type="dxa" w:w="2160"/>
          </w:tcPr>
          <w:p>
            <w:r>
              <w:t>6 milestones: $4.16M / $5.54M / $4.16M / $5.54M / $4.16M / $4.16M</w:t>
            </w:r>
          </w:p>
        </w:tc>
      </w:tr>
      <w:tr>
        <w:tc>
          <w:tcPr>
            <w:tcW w:type="dxa" w:w="2160"/>
          </w:tcPr>
          <w:p>
            <w:r>
              <w:t>SOW-02 (Year 2)</w:t>
            </w:r>
          </w:p>
        </w:tc>
        <w:tc>
          <w:tcPr>
            <w:tcW w:type="dxa" w:w="2160"/>
          </w:tcPr>
          <w:p>
            <w:r>
              <w:t>Oct 2027 – Dec 2028</w:t>
            </w:r>
          </w:p>
        </w:tc>
        <w:tc>
          <w:tcPr>
            <w:tcW w:type="dxa" w:w="2160"/>
          </w:tcPr>
          <w:p>
            <w:r>
              <w:t>$41,580,000</w:t>
            </w:r>
          </w:p>
        </w:tc>
        <w:tc>
          <w:tcPr>
            <w:tcW w:type="dxa" w:w="2160"/>
          </w:tcPr>
          <w:p>
            <w:r>
              <w:t>6 milestones: $5.55M / $6.93M / $6.93M / $6.93M / $8.31M / $6.93M</w:t>
            </w:r>
          </w:p>
        </w:tc>
      </w:tr>
      <w:tr>
        <w:tc>
          <w:tcPr>
            <w:tcW w:type="dxa" w:w="2160"/>
          </w:tcPr>
          <w:p>
            <w:r>
              <w:t>SOW-03 (Year 3)</w:t>
            </w:r>
          </w:p>
        </w:tc>
        <w:tc>
          <w:tcPr>
            <w:tcW w:type="dxa" w:w="2160"/>
          </w:tcPr>
          <w:p>
            <w:r>
              <w:t>Jan 2029 – Aug 2029</w:t>
            </w:r>
          </w:p>
        </w:tc>
        <w:tc>
          <w:tcPr>
            <w:tcW w:type="dxa" w:w="2160"/>
          </w:tcPr>
          <w:p>
            <w:r>
              <w:t>$29,700,000</w:t>
            </w:r>
          </w:p>
        </w:tc>
        <w:tc>
          <w:tcPr>
            <w:tcW w:type="dxa" w:w="2160"/>
          </w:tcPr>
          <w:p>
            <w:r>
              <w:t>5 milestones: $4.88M / $6.14M / $6.14M / $6.14M / $6.40M</w:t>
            </w:r>
          </w:p>
        </w:tc>
      </w:tr>
      <w:tr>
        <w:tc>
          <w:tcPr>
            <w:tcW w:type="dxa" w:w="2160"/>
          </w:tcPr>
          <w:p>
            <w:r>
              <w:t>TOTAL</w:t>
            </w:r>
          </w:p>
        </w:tc>
        <w:tc>
          <w:tcPr>
            <w:tcW w:type="dxa" w:w="2160"/>
          </w:tcPr>
          <w:p>
            <w:r/>
          </w:p>
        </w:tc>
        <w:tc>
          <w:tcPr>
            <w:tcW w:type="dxa" w:w="2160"/>
          </w:tcPr>
          <w:p>
            <w:r>
              <w:t>$99,000,000</w:t>
            </w:r>
          </w:p>
        </w:tc>
        <w:tc>
          <w:tcPr>
            <w:tcW w:type="dxa" w:w="2160"/>
          </w:tcPr>
          <w:p>
            <w:r/>
          </w:p>
        </w:tc>
      </w:tr>
    </w:tbl>
    <w:p/>
    <w:p>
      <w:r>
        <w:t>Milestone payments are tied to phase-gate deliverables. Payment requires formal deliverable acceptance per the phase-gate sign-off procedure. Full SOW detail inSOW-01,SOW-02,SOW-03.</w:t>
      </w:r>
    </w:p>
    <w:p>
      <w:pPr>
        <w:pStyle w:val="Heading2"/>
      </w:pPr>
      <w:r>
        <w:t>15. Contingency Reserve &amp; Financial Controls</w:t>
      </w:r>
    </w:p>
    <w:p>
      <w:pPr>
        <w:pStyle w:val="ListBullet"/>
      </w:pPr>
      <w:r>
        <w:t>Contingency Reserve:$9,000,000 (approximately 10% of total budget). Not discretionary — use requires formal approval with documented root cause. Tiered approval: ≤$500K (Program Director + CFO), $500K–$1M (Executive Steering Board), &gt;$1M (Executive Sponsor + CFO). Low-watermark escalation if reserve drops below $2.0M.</w:t>
      </w:r>
    </w:p>
    <w:p>
      <w:pPr>
        <w:pStyle w:val="ListBullet"/>
      </w:pPr>
      <w:r>
        <w:t>Monthly financial tracking:Program Finance (A. Rodriguez) reports actual vs. budget by category monthly. Variance &gt;5% triggers investigation; &gt;10% triggers Executive Steering Board escalation.</w:t>
      </w:r>
    </w:p>
    <w:p>
      <w:pPr>
        <w:pStyle w:val="ListBullet"/>
      </w:pPr>
      <w:r>
        <w:t>Earned value:CPI and SPI calculated monthly. Thresholds: Green (≥0.95), Yellow (0.85–0.94), Red (&lt;0.85). Red triggers recovery plan and board escalation.</w:t>
      </w:r>
    </w:p>
    <w:p>
      <w:pPr>
        <w:pStyle w:val="ListBullet"/>
      </w:pPr>
      <w:r>
        <w:t>No supplemental funding:This Charter does not authorize expenditure beyond $99,000,000. Additional funding would require ACME Board-level approval — an extraordinary measure not anticipated in the base plan.</w:t>
      </w:r>
    </w:p>
    <w:p>
      <w:pPr>
        <w:pStyle w:val="Heading2"/>
      </w:pPr>
      <w:r>
        <w:t>16. Benefits Realization Framework</w:t>
      </w:r>
    </w:p>
    <w:p>
      <w:r>
        <w:t>Benefits are tracked against baselines established during Phase 0. Full methodology and projections in theCost-Benefit Analysis. Summary of expected steady-state annual benefits (Year 5+):</w:t>
      </w:r>
    </w:p>
    <w:tbl>
      <w:tblPr>
        <w:tblStyle w:val="TableGrid"/>
        <w:tblW w:type="auto" w:w="0"/>
        <w:tblLook w:firstColumn="1" w:firstRow="1" w:lastColumn="0" w:lastRow="0" w:noHBand="0" w:noVBand="1" w:val="04A0"/>
      </w:tblPr>
      <w:tblGrid>
        <w:gridCol w:w="2880"/>
        <w:gridCol w:w="2880"/>
        <w:gridCol w:w="2880"/>
      </w:tblGrid>
      <w:tr>
        <w:tc>
          <w:tcPr>
            <w:tcW w:type="dxa" w:w="2880"/>
          </w:tcPr>
          <w:p>
            <w:r>
              <w:t>Benefit Driver</w:t>
            </w:r>
          </w:p>
        </w:tc>
        <w:tc>
          <w:tcPr>
            <w:tcW w:type="dxa" w:w="2880"/>
          </w:tcPr>
          <w:p>
            <w:r>
              <w:t>Annual Value (Steady State)</w:t>
            </w:r>
          </w:p>
        </w:tc>
        <w:tc>
          <w:tcPr>
            <w:tcW w:type="dxa" w:w="2880"/>
          </w:tcPr>
          <w:p>
            <w:r>
              <w:t>BRD</w:t>
            </w:r>
          </w:p>
        </w:tc>
      </w:tr>
      <w:tr>
        <w:tc>
          <w:tcPr>
            <w:tcW w:type="dxa" w:w="2880"/>
          </w:tcPr>
          <w:p>
            <w:r>
              <w:t>PA automation savings (labor reduction + cycle time)</w:t>
            </w:r>
          </w:p>
        </w:tc>
        <w:tc>
          <w:tcPr>
            <w:tcW w:type="dxa" w:w="2880"/>
          </w:tcPr>
          <w:p>
            <w:r>
              <w:t>$12,800,000</w:t>
            </w:r>
          </w:p>
        </w:tc>
        <w:tc>
          <w:tcPr>
            <w:tcW w:type="dxa" w:w="2880"/>
          </w:tcPr>
          <w:p>
            <w:r>
              <w:t>BRD-01</w:t>
            </w:r>
          </w:p>
        </w:tc>
      </w:tr>
      <w:tr>
        <w:tc>
          <w:tcPr>
            <w:tcW w:type="dxa" w:w="2880"/>
          </w:tcPr>
          <w:p>
            <w:r>
              <w:t>Call-center efficiency (volume deflection + AHT reduction)</w:t>
            </w:r>
          </w:p>
        </w:tc>
        <w:tc>
          <w:tcPr>
            <w:tcW w:type="dxa" w:w="2880"/>
          </w:tcPr>
          <w:p>
            <w:r>
              <w:t>$8,800,000</w:t>
            </w:r>
          </w:p>
        </w:tc>
        <w:tc>
          <w:tcPr>
            <w:tcW w:type="dxa" w:w="2880"/>
          </w:tcPr>
          <w:p>
            <w:r>
              <w:t>BRD-02</w:t>
            </w:r>
          </w:p>
        </w:tc>
      </w:tr>
      <w:tr>
        <w:tc>
          <w:tcPr>
            <w:tcW w:type="dxa" w:w="2880"/>
          </w:tcPr>
          <w:p>
            <w:r>
              <w:t>Underwriting accuracy (loss-ratio improvement)</w:t>
            </w:r>
          </w:p>
        </w:tc>
        <w:tc>
          <w:tcPr>
            <w:tcW w:type="dxa" w:w="2880"/>
          </w:tcPr>
          <w:p>
            <w:r>
              <w:t>$3,200,000</w:t>
            </w:r>
          </w:p>
        </w:tc>
        <w:tc>
          <w:tcPr>
            <w:tcW w:type="dxa" w:w="2880"/>
          </w:tcPr>
          <w:p>
            <w:r>
              <w:t>BRD-03</w:t>
            </w:r>
          </w:p>
        </w:tc>
      </w:tr>
      <w:tr>
        <w:tc>
          <w:tcPr>
            <w:tcW w:type="dxa" w:w="2880"/>
          </w:tcPr>
          <w:p>
            <w:r>
              <w:t>Fraud detection (incremental identification)</w:t>
            </w:r>
          </w:p>
        </w:tc>
        <w:tc>
          <w:tcPr>
            <w:tcW w:type="dxa" w:w="2880"/>
          </w:tcPr>
          <w:p>
            <w:r>
              <w:t>$2,400,000</w:t>
            </w:r>
          </w:p>
        </w:tc>
        <w:tc>
          <w:tcPr>
            <w:tcW w:type="dxa" w:w="2880"/>
          </w:tcPr>
          <w:p>
            <w:r>
              <w:t>BRD-01</w:t>
            </w:r>
          </w:p>
        </w:tc>
      </w:tr>
      <w:tr>
        <w:tc>
          <w:tcPr>
            <w:tcW w:type="dxa" w:w="2880"/>
          </w:tcPr>
          <w:p>
            <w:r>
              <w:t>Total Annual Benefits (Steady State)</w:t>
            </w:r>
          </w:p>
        </w:tc>
        <w:tc>
          <w:tcPr>
            <w:tcW w:type="dxa" w:w="2880"/>
          </w:tcPr>
          <w:p>
            <w:r>
              <w:t>$27,200,000</w:t>
            </w:r>
          </w:p>
        </w:tc>
        <w:tc>
          <w:tcPr>
            <w:tcW w:type="dxa" w:w="2880"/>
          </w:tcPr>
          <w:p>
            <w:r/>
          </w:p>
        </w:tc>
      </w:tr>
    </w:tbl>
    <w:p/>
    <w:p>
      <w:r>
        <w:t>Benefits realization is tracked quarterly beginning 6 months after each BRD's production release. Final benefits-realization audit conducted at program closeout and presented to Executive Steering Board.</w:t>
      </w:r>
    </w:p>
    <w:p/>
    <w:p>
      <w:r>
        <w:rPr>
          <w:b/>
          <w:color w:val="1B3A6B"/>
          <w:sz w:val="28"/>
        </w:rPr>
        <w:t>Part V — Risk, Compliance &amp; Constraints</w:t>
      </w:r>
    </w:p>
    <w:p>
      <w:pPr>
        <w:pStyle w:val="Heading2"/>
      </w:pPr>
      <w:r>
        <w:t>17. Regulatory &amp; Compliance Framework</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Regulation / Standard</w:t>
            </w:r>
          </w:p>
        </w:tc>
        <w:tc>
          <w:tcPr>
            <w:tcW w:type="dxa" w:w="2160"/>
          </w:tcPr>
          <w:p>
            <w:r>
              <w:t>Applicability</w:t>
            </w:r>
          </w:p>
        </w:tc>
        <w:tc>
          <w:tcPr>
            <w:tcW w:type="dxa" w:w="2160"/>
          </w:tcPr>
          <w:p>
            <w:r>
              <w:t>Primary Owner</w:t>
            </w:r>
          </w:p>
        </w:tc>
        <w:tc>
          <w:tcPr>
            <w:tcW w:type="dxa" w:w="2160"/>
          </w:tcPr>
          <w:p>
            <w:r>
              <w:t>Compliance Mechanism</w:t>
            </w:r>
          </w:p>
        </w:tc>
      </w:tr>
      <w:tr>
        <w:tc>
          <w:tcPr>
            <w:tcW w:type="dxa" w:w="2160"/>
          </w:tcPr>
          <w:p>
            <w:r>
              <w:t>CMS-0057-F</w:t>
            </w:r>
          </w:p>
        </w:tc>
        <w:tc>
          <w:tcPr>
            <w:tcW w:type="dxa" w:w="2160"/>
          </w:tcPr>
          <w:p>
            <w:r>
              <w:t>BRD-01 (PA automation, FHIR APIs, decision timelines)</w:t>
            </w:r>
          </w:p>
        </w:tc>
        <w:tc>
          <w:tcPr>
            <w:tcW w:type="dxa" w:w="2160"/>
          </w:tcPr>
          <w:p>
            <w:r>
              <w:t>J. Martinez</w:t>
            </w:r>
          </w:p>
        </w:tc>
        <w:tc>
          <w:tcPr>
            <w:tcW w:type="dxa" w:w="2160"/>
          </w:tcPr>
          <w:p>
            <w:r>
              <w:t>API conformance testing; decision-timeline monitoring; public reporting</w:t>
            </w:r>
          </w:p>
        </w:tc>
      </w:tr>
      <w:tr>
        <w:tc>
          <w:tcPr>
            <w:tcW w:type="dxa" w:w="2160"/>
          </w:tcPr>
          <w:p>
            <w:r>
              <w:t>NIST AI RMF 1.0</w:t>
            </w:r>
          </w:p>
        </w:tc>
        <w:tc>
          <w:tcPr>
            <w:tcW w:type="dxa" w:w="2160"/>
          </w:tcPr>
          <w:p>
            <w:r>
              <w:t>All BRDs — enterprise governance standard</w:t>
            </w:r>
          </w:p>
        </w:tc>
        <w:tc>
          <w:tcPr>
            <w:tcW w:type="dxa" w:w="2160"/>
          </w:tcPr>
          <w:p>
            <w:r>
              <w:t>S. Khurana</w:t>
            </w:r>
          </w:p>
        </w:tc>
        <w:tc>
          <w:tcPr>
            <w:tcW w:type="dxa" w:w="2160"/>
          </w:tcPr>
          <w:p>
            <w:r>
              <w:t>Four-function mapping (Govern/Map/Measure/Manage); AI CoE implementation</w:t>
            </w:r>
          </w:p>
        </w:tc>
      </w:tr>
      <w:tr>
        <w:tc>
          <w:tcPr>
            <w:tcW w:type="dxa" w:w="2160"/>
          </w:tcPr>
          <w:p>
            <w:r>
              <w:t>ISO/IEC 42001</w:t>
            </w:r>
          </w:p>
        </w:tc>
        <w:tc>
          <w:tcPr>
            <w:tcW w:type="dxa" w:w="2160"/>
          </w:tcPr>
          <w:p>
            <w:r>
              <w:t>AI CoE organizational alignment</w:t>
            </w:r>
          </w:p>
        </w:tc>
        <w:tc>
          <w:tcPr>
            <w:tcW w:type="dxa" w:w="2160"/>
          </w:tcPr>
          <w:p>
            <w:r>
              <w:t>S. Khurana</w:t>
            </w:r>
          </w:p>
        </w:tc>
        <w:tc>
          <w:tcPr>
            <w:tcW w:type="dxa" w:w="2160"/>
          </w:tcPr>
          <w:p>
            <w:r>
              <w:t>Management system standards; process documentation</w:t>
            </w:r>
          </w:p>
        </w:tc>
      </w:tr>
      <w:tr>
        <w:tc>
          <w:tcPr>
            <w:tcW w:type="dxa" w:w="2160"/>
          </w:tcPr>
          <w:p>
            <w:r>
              <w:t>NAIC Model AI Bulletin</w:t>
            </w:r>
          </w:p>
        </w:tc>
        <w:tc>
          <w:tcPr>
            <w:tcW w:type="dxa" w:w="2160"/>
          </w:tcPr>
          <w:p>
            <w:r>
              <w:t>BRD-01, BRD-03 (insurance AI governance)</w:t>
            </w:r>
          </w:p>
        </w:tc>
        <w:tc>
          <w:tcPr>
            <w:tcW w:type="dxa" w:w="2160"/>
          </w:tcPr>
          <w:p>
            <w:r>
              <w:t>R. Thorne</w:t>
            </w:r>
          </w:p>
        </w:tc>
        <w:tc>
          <w:tcPr>
            <w:tcW w:type="dxa" w:w="2160"/>
          </w:tcPr>
          <w:p>
            <w:r>
              <w:t>Governance framework; fairness testing; transparency documentation</w:t>
            </w:r>
          </w:p>
        </w:tc>
      </w:tr>
      <w:tr>
        <w:tc>
          <w:tcPr>
            <w:tcW w:type="dxa" w:w="2160"/>
          </w:tcPr>
          <w:p>
            <w:r>
              <w:t>State AI-in-Insurance Statutes</w:t>
            </w:r>
          </w:p>
        </w:tc>
        <w:tc>
          <w:tcPr>
            <w:tcW w:type="dxa" w:w="2160"/>
          </w:tcPr>
          <w:p>
            <w:r>
              <w:t>BRD-01, BRD-03 (CO, CT, emerging states)</w:t>
            </w:r>
          </w:p>
        </w:tc>
        <w:tc>
          <w:tcPr>
            <w:tcW w:type="dxa" w:w="2160"/>
          </w:tcPr>
          <w:p>
            <w:r>
              <w:t>R. Thorne</w:t>
            </w:r>
          </w:p>
        </w:tc>
        <w:tc>
          <w:tcPr>
            <w:tcW w:type="dxa" w:w="2160"/>
          </w:tcPr>
          <w:p>
            <w:r>
              <w:t>Fairness testing; human oversight; AI disclosure; regulatory tracker</w:t>
            </w:r>
          </w:p>
        </w:tc>
      </w:tr>
      <w:tr>
        <w:tc>
          <w:tcPr>
            <w:tcW w:type="dxa" w:w="2160"/>
          </w:tcPr>
          <w:p>
            <w:r>
              <w:t>HIPAA / HITECH</w:t>
            </w:r>
          </w:p>
        </w:tc>
        <w:tc>
          <w:tcPr>
            <w:tcW w:type="dxa" w:w="2160"/>
          </w:tcPr>
          <w:p>
            <w:r>
              <w:t>All PHI-handling workstreams</w:t>
            </w:r>
          </w:p>
        </w:tc>
        <w:tc>
          <w:tcPr>
            <w:tcW w:type="dxa" w:w="2160"/>
          </w:tcPr>
          <w:p>
            <w:r>
              <w:t>E. Sato</w:t>
            </w:r>
          </w:p>
        </w:tc>
        <w:tc>
          <w:tcPr>
            <w:tcW w:type="dxa" w:w="2160"/>
          </w:tcPr>
          <w:p>
            <w:r>
              <w:t>Encryption, RBAC, audit trail, BAAs, privacy impact assessments</w:t>
            </w:r>
          </w:p>
        </w:tc>
      </w:tr>
      <w:tr>
        <w:tc>
          <w:tcPr>
            <w:tcW w:type="dxa" w:w="2160"/>
          </w:tcPr>
          <w:p>
            <w:r>
              <w:t>SOX (Sarbanes-Oxley)</w:t>
            </w:r>
          </w:p>
        </w:tc>
        <w:tc>
          <w:tcPr>
            <w:tcW w:type="dxa" w:w="2160"/>
          </w:tcPr>
          <w:p>
            <w:r>
              <w:t>Claims-payment and financial-reporting</w:t>
            </w:r>
          </w:p>
        </w:tc>
        <w:tc>
          <w:tcPr>
            <w:tcW w:type="dxa" w:w="2160"/>
          </w:tcPr>
          <w:p>
            <w:r>
              <w:t>K. Williams</w:t>
            </w:r>
          </w:p>
        </w:tc>
        <w:tc>
          <w:tcPr>
            <w:tcW w:type="dxa" w:w="2160"/>
          </w:tcPr>
          <w:p>
            <w:r>
              <w:t>Internal controls; audit trail; SOX testing</w:t>
            </w:r>
          </w:p>
        </w:tc>
      </w:tr>
      <w:tr>
        <w:tc>
          <w:tcPr>
            <w:tcW w:type="dxa" w:w="2160"/>
          </w:tcPr>
          <w:p>
            <w:r>
              <w:t>Moffatt v. Air Canada (precedent)</w:t>
            </w:r>
          </w:p>
        </w:tc>
        <w:tc>
          <w:tcPr>
            <w:tcW w:type="dxa" w:w="2160"/>
          </w:tcPr>
          <w:p>
            <w:r>
              <w:t>BRD-02 (member-facing conversational AI)</w:t>
            </w:r>
          </w:p>
        </w:tc>
        <w:tc>
          <w:tcPr>
            <w:tcW w:type="dxa" w:w="2160"/>
          </w:tcPr>
          <w:p>
            <w:r>
              <w:t>R. Thorne</w:t>
            </w:r>
          </w:p>
        </w:tc>
        <w:tc>
          <w:tcPr>
            <w:tcW w:type="dxa" w:w="2160"/>
          </w:tcPr>
          <w:p>
            <w:r>
              <w:t>RAG factual grounding; hallucination prevention; source citation</w:t>
            </w:r>
          </w:p>
        </w:tc>
      </w:tr>
    </w:tbl>
    <w:p/>
    <w:p>
      <w:pPr>
        <w:pStyle w:val="Heading2"/>
      </w:pPr>
      <w:r>
        <w:t>18. High-Level Risk Assessment</w:t>
      </w:r>
    </w:p>
    <w:p>
      <w:r>
        <w:t>Ten risks are identified at program initiation and documented in theRAIDD Logwith owner, probability/impact score, mitigation strategy, and trigger threshold. Summary:</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Risk</w:t>
            </w:r>
          </w:p>
        </w:tc>
        <w:tc>
          <w:tcPr>
            <w:tcW w:type="dxa" w:w="2160"/>
          </w:tcPr>
          <w:p>
            <w:r>
              <w:t>Score</w:t>
            </w:r>
          </w:p>
        </w:tc>
        <w:tc>
          <w:tcPr>
            <w:tcW w:type="dxa" w:w="2160"/>
          </w:tcPr>
          <w:p>
            <w:r>
              <w:t>Owner</w:t>
            </w:r>
          </w:p>
        </w:tc>
      </w:tr>
      <w:tr>
        <w:tc>
          <w:tcPr>
            <w:tcW w:type="dxa" w:w="2160"/>
          </w:tcPr>
          <w:p>
            <w:r>
              <w:t>R-01</w:t>
            </w:r>
          </w:p>
        </w:tc>
        <w:tc>
          <w:tcPr>
            <w:tcW w:type="dxa" w:w="2160"/>
          </w:tcPr>
          <w:p>
            <w:r>
              <w:t>Legacy claims data fragmentation delays BRD-01</w:t>
            </w:r>
          </w:p>
        </w:tc>
        <w:tc>
          <w:tcPr>
            <w:tcW w:type="dxa" w:w="2160"/>
          </w:tcPr>
          <w:p>
            <w:r>
              <w:t>9 (High/High)</w:t>
            </w:r>
          </w:p>
        </w:tc>
        <w:tc>
          <w:tcPr>
            <w:tcW w:type="dxa" w:w="2160"/>
          </w:tcPr>
          <w:p>
            <w:r>
              <w:t>T. Valdez</w:t>
            </w:r>
          </w:p>
        </w:tc>
      </w:tr>
      <w:tr>
        <w:tc>
          <w:tcPr>
            <w:tcW w:type="dxa" w:w="2160"/>
          </w:tcPr>
          <w:p>
            <w:r>
              <w:t>R-02</w:t>
            </w:r>
          </w:p>
        </w:tc>
        <w:tc>
          <w:tcPr>
            <w:tcW w:type="dxa" w:w="2160"/>
          </w:tcPr>
          <w:p>
            <w:r>
              <w:t>GenAI compute/token cost overrun</w:t>
            </w:r>
          </w:p>
        </w:tc>
        <w:tc>
          <w:tcPr>
            <w:tcW w:type="dxa" w:w="2160"/>
          </w:tcPr>
          <w:p>
            <w:r>
              <w:t>8 (High/High)</w:t>
            </w:r>
          </w:p>
        </w:tc>
        <w:tc>
          <w:tcPr>
            <w:tcW w:type="dxa" w:w="2160"/>
          </w:tcPr>
          <w:p>
            <w:r>
              <w:t>W. Kumar</w:t>
            </w:r>
          </w:p>
        </w:tc>
      </w:tr>
      <w:tr>
        <w:tc>
          <w:tcPr>
            <w:tcW w:type="dxa" w:w="2160"/>
          </w:tcPr>
          <w:p>
            <w:r>
              <w:t>R-03</w:t>
            </w:r>
          </w:p>
        </w:tc>
        <w:tc>
          <w:tcPr>
            <w:tcW w:type="dxa" w:w="2160"/>
          </w:tcPr>
          <w:p>
            <w:r>
              <w:t>Member chatbot hallucination incident (Air Canada-style)</w:t>
            </w:r>
          </w:p>
        </w:tc>
        <w:tc>
          <w:tcPr>
            <w:tcW w:type="dxa" w:w="2160"/>
          </w:tcPr>
          <w:p>
            <w:r>
              <w:t>6 (Med/High)</w:t>
            </w:r>
          </w:p>
        </w:tc>
        <w:tc>
          <w:tcPr>
            <w:tcW w:type="dxa" w:w="2160"/>
          </w:tcPr>
          <w:p>
            <w:r>
              <w:t>S. Khurana</w:t>
            </w:r>
          </w:p>
        </w:tc>
      </w:tr>
      <w:tr>
        <w:tc>
          <w:tcPr>
            <w:tcW w:type="dxa" w:w="2160"/>
          </w:tcPr>
          <w:p>
            <w:r>
              <w:t>R-04</w:t>
            </w:r>
          </w:p>
        </w:tc>
        <w:tc>
          <w:tcPr>
            <w:tcW w:type="dxa" w:w="2160"/>
          </w:tcPr>
          <w:p>
            <w:r>
              <w:t>PA AI regulatory scrutiny (override rate too high)</w:t>
            </w:r>
          </w:p>
        </w:tc>
        <w:tc>
          <w:tcPr>
            <w:tcW w:type="dxa" w:w="2160"/>
          </w:tcPr>
          <w:p>
            <w:r>
              <w:t>6 (Med/High)</w:t>
            </w:r>
          </w:p>
        </w:tc>
        <w:tc>
          <w:tcPr>
            <w:tcW w:type="dxa" w:w="2160"/>
          </w:tcPr>
          <w:p>
            <w:r>
              <w:t>Dr. N. Patel</w:t>
            </w:r>
          </w:p>
        </w:tc>
      </w:tr>
      <w:tr>
        <w:tc>
          <w:tcPr>
            <w:tcW w:type="dxa" w:w="2160"/>
          </w:tcPr>
          <w:p>
            <w:r>
              <w:t>R-05</w:t>
            </w:r>
          </w:p>
        </w:tc>
        <w:tc>
          <w:tcPr>
            <w:tcW w:type="dxa" w:w="2160"/>
          </w:tcPr>
          <w:p>
            <w:r>
              <w:t>Cloud/SaaS vendor delivery slip</w:t>
            </w:r>
          </w:p>
        </w:tc>
        <w:tc>
          <w:tcPr>
            <w:tcW w:type="dxa" w:w="2160"/>
          </w:tcPr>
          <w:p>
            <w:r>
              <w:t>5 (Med/High)</w:t>
            </w:r>
          </w:p>
        </w:tc>
        <w:tc>
          <w:tcPr>
            <w:tcW w:type="dxa" w:w="2160"/>
          </w:tcPr>
          <w:p>
            <w:r>
              <w:t>W. Kumar</w:t>
            </w:r>
          </w:p>
        </w:tc>
      </w:tr>
      <w:tr>
        <w:tc>
          <w:tcPr>
            <w:tcW w:type="dxa" w:w="2160"/>
          </w:tcPr>
          <w:p>
            <w:r>
              <w:t>R-06</w:t>
            </w:r>
          </w:p>
        </w:tc>
        <w:tc>
          <w:tcPr>
            <w:tcW w:type="dxa" w:w="2160"/>
          </w:tcPr>
          <w:p>
            <w:r>
              <w:t>Independent Model Validation flags underwriting bias</w:t>
            </w:r>
          </w:p>
        </w:tc>
        <w:tc>
          <w:tcPr>
            <w:tcW w:type="dxa" w:w="2160"/>
          </w:tcPr>
          <w:p>
            <w:r>
              <w:t>5 (Low/High)</w:t>
            </w:r>
          </w:p>
        </w:tc>
        <w:tc>
          <w:tcPr>
            <w:tcW w:type="dxa" w:w="2160"/>
          </w:tcPr>
          <w:p>
            <w:r>
              <w:t>P. Okafor</w:t>
            </w:r>
          </w:p>
        </w:tc>
      </w:tr>
      <w:tr>
        <w:tc>
          <w:tcPr>
            <w:tcW w:type="dxa" w:w="2160"/>
          </w:tcPr>
          <w:p>
            <w:r>
              <w:t>R-07</w:t>
            </w:r>
          </w:p>
        </w:tc>
        <w:tc>
          <w:tcPr>
            <w:tcW w:type="dxa" w:w="2160"/>
          </w:tcPr>
          <w:p>
            <w:r>
              <w:t>Frontline adoption resistance</w:t>
            </w:r>
          </w:p>
        </w:tc>
        <w:tc>
          <w:tcPr>
            <w:tcW w:type="dxa" w:w="2160"/>
          </w:tcPr>
          <w:p>
            <w:r>
              <w:t>6 (Med/High)</w:t>
            </w:r>
          </w:p>
        </w:tc>
        <w:tc>
          <w:tcPr>
            <w:tcW w:type="dxa" w:w="2160"/>
          </w:tcPr>
          <w:p>
            <w:r>
              <w:t>G. Okonkwo</w:t>
            </w:r>
          </w:p>
        </w:tc>
      </w:tr>
      <w:tr>
        <w:tc>
          <w:tcPr>
            <w:tcW w:type="dxa" w:w="2160"/>
          </w:tcPr>
          <w:p>
            <w:r>
              <w:t>R-08</w:t>
            </w:r>
          </w:p>
        </w:tc>
        <w:tc>
          <w:tcPr>
            <w:tcW w:type="dxa" w:w="2160"/>
          </w:tcPr>
          <w:p>
            <w:r>
              <w:t>Offshore data-access gap (privacy audit)</w:t>
            </w:r>
          </w:p>
        </w:tc>
        <w:tc>
          <w:tcPr>
            <w:tcW w:type="dxa" w:w="2160"/>
          </w:tcPr>
          <w:p>
            <w:r>
              <w:t>3 (Low/High)</w:t>
            </w:r>
          </w:p>
        </w:tc>
        <w:tc>
          <w:tcPr>
            <w:tcW w:type="dxa" w:w="2160"/>
          </w:tcPr>
          <w:p>
            <w:r>
              <w:t>E. Sato</w:t>
            </w:r>
          </w:p>
        </w:tc>
      </w:tr>
      <w:tr>
        <w:tc>
          <w:tcPr>
            <w:tcW w:type="dxa" w:w="2160"/>
          </w:tcPr>
          <w:p>
            <w:r>
              <w:t>R-09</w:t>
            </w:r>
          </w:p>
        </w:tc>
        <w:tc>
          <w:tcPr>
            <w:tcW w:type="dxa" w:w="2160"/>
          </w:tcPr>
          <w:p>
            <w:r>
              <w:t>Executive sponsor turnover mid-program</w:t>
            </w:r>
          </w:p>
        </w:tc>
        <w:tc>
          <w:tcPr>
            <w:tcW w:type="dxa" w:w="2160"/>
          </w:tcPr>
          <w:p>
            <w:r>
              <w:t>3 (Low/High)</w:t>
            </w:r>
          </w:p>
        </w:tc>
        <w:tc>
          <w:tcPr>
            <w:tcW w:type="dxa" w:w="2160"/>
          </w:tcPr>
          <w:p>
            <w:r>
              <w:t>C. Tyrrell</w:t>
            </w:r>
          </w:p>
        </w:tc>
      </w:tr>
      <w:tr>
        <w:tc>
          <w:tcPr>
            <w:tcW w:type="dxa" w:w="2160"/>
          </w:tcPr>
          <w:p>
            <w:r>
              <w:t>R-10</w:t>
            </w:r>
          </w:p>
        </w:tc>
        <w:tc>
          <w:tcPr>
            <w:tcW w:type="dxa" w:w="2160"/>
          </w:tcPr>
          <w:p>
            <w:r>
              <w:t>Shadow AI scope pressure</w:t>
            </w:r>
          </w:p>
        </w:tc>
        <w:tc>
          <w:tcPr>
            <w:tcW w:type="dxa" w:w="2160"/>
          </w:tcPr>
          <w:p>
            <w:r>
              <w:t>8 (High/High)</w:t>
            </w:r>
          </w:p>
        </w:tc>
        <w:tc>
          <w:tcPr>
            <w:tcW w:type="dxa" w:w="2160"/>
          </w:tcPr>
          <w:p>
            <w:r>
              <w:t>S. Khurana</w:t>
            </w:r>
          </w:p>
        </w:tc>
      </w:tr>
    </w:tbl>
    <w:p/>
    <w:p>
      <w:pPr>
        <w:pStyle w:val="Heading2"/>
      </w:pPr>
      <w:r>
        <w:t>19. Assumptions</w:t>
      </w:r>
    </w:p>
    <w:p>
      <w:pPr>
        <w:pStyle w:val="ListBullet"/>
      </w:pPr>
      <w:r>
        <w:t>ACME member volume and PA case mix remain stable: approximately 4 million members, 800,000 annual PA cases. Material changes (&gt;10%) would require re-baselining model training data and capacity planning.</w:t>
      </w:r>
    </w:p>
    <w:p>
      <w:pPr>
        <w:pStyle w:val="ListBullet"/>
      </w:pPr>
      <w:r>
        <w:t>State regulatory environment remains stable within current risk envelope. New AI-in-insurance mandates are absorbed through CoE standards updates, not model redesigns (unless mandated).</w:t>
      </w:r>
    </w:p>
    <w:p>
      <w:pPr>
        <w:pStyle w:val="ListBullet"/>
      </w:pPr>
      <w:r>
        <w:t>Cloud/LLM vendor ecosystem remains viable and accessible through program duration. No major platform discontinuations, pricing shocks, or access restrictions requiring platform migration.</w:t>
      </w:r>
    </w:p>
    <w:p>
      <w:pPr>
        <w:pStyle w:val="ListBullet"/>
      </w:pPr>
      <w:r>
        <w:t>ACME executive commitment (budget, staffing, governance participation) remains through all three years. Budget re-authorization for Years 2 and 3 proceeds as planned at respective Phase 4 gates.</w:t>
      </w:r>
    </w:p>
    <w:p>
      <w:pPr>
        <w:pStyle w:val="ListBullet"/>
      </w:pPr>
      <w:r>
        <w:t>ACME's separate CMS-0057-F baseline compliance project delivers FHIR API endpoints on schedule (independent project, dependency DEP-01).</w:t>
      </w:r>
    </w:p>
    <w:p>
      <w:pPr>
        <w:pStyle w:val="ListBullet"/>
      </w:pPr>
      <w:r>
        <w:t>Historical data (claims, PA, underwriting, call transcripts) is available at sufficient volume and quality for model training (validated Phase 0; R-01 addresses data quality risk).</w:t>
      </w:r>
    </w:p>
    <w:p>
      <w:pPr>
        <w:pStyle w:val="Heading2"/>
      </w:pPr>
      <w:r>
        <w:t>20. Constraints</w:t>
      </w:r>
    </w:p>
    <w:p>
      <w:pPr>
        <w:pStyle w:val="ListBullet"/>
      </w:pPr>
      <w:r>
        <w:t>Budget ceiling:$99M total authorization. No supplemental funding mechanism without ACME Board approval.</w:t>
      </w:r>
    </w:p>
    <w:p>
      <w:pPr>
        <w:pStyle w:val="ListBullet"/>
      </w:pPr>
      <w:r>
        <w:t>PHI data residency:All PHI must remain in onshore US cloud regions. Offshore teams access only synthetic/anonymized data.</w:t>
      </w:r>
    </w:p>
    <w:p>
      <w:pPr>
        <w:pStyle w:val="ListBullet"/>
      </w:pPr>
      <w:r>
        <w:t>Regulatory timeline:CMS-0057-F effective dates are fixed; ACME's compliance project and BRD-01 must deliver accordingly.</w:t>
      </w:r>
    </w:p>
    <w:p>
      <w:pPr>
        <w:pStyle w:val="ListBullet"/>
      </w:pPr>
      <w:r>
        <w:t>Model validation independence:Independent Model Validation team cannot report to or be combined with BRD delivery teams. Structural constraint.</w:t>
      </w:r>
    </w:p>
    <w:p>
      <w:pPr>
        <w:pStyle w:val="ListBullet"/>
      </w:pPr>
      <w:r>
        <w:t>Human-in-the-loop:Mandatory human review for adverse PA determinations (BRD-01), pricing decisions (BRD-03), and low-confidence member interactions (BRD-02). Cannot be disabled.</w:t>
      </w:r>
    </w:p>
    <w:p>
      <w:pPr>
        <w:pStyle w:val="ListBullet"/>
      </w:pPr>
      <w:r>
        <w:t>Actuarial sign-off:Every pricing decision influenced by BRD-03 models requires credentialed actuary sign-off (ASOP No. 56 compliance).</w:t>
      </w:r>
    </w:p>
    <w:p>
      <w:pPr>
        <w:pStyle w:val="Heading2"/>
      </w:pPr>
      <w:r>
        <w:t>21. Dependencies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Dependency</w:t>
            </w:r>
          </w:p>
        </w:tc>
        <w:tc>
          <w:tcPr>
            <w:tcW w:type="dxa" w:w="2160"/>
          </w:tcPr>
          <w:p>
            <w:r>
              <w:t>Owner</w:t>
            </w:r>
          </w:p>
        </w:tc>
        <w:tc>
          <w:tcPr>
            <w:tcW w:type="dxa" w:w="2160"/>
          </w:tcPr>
          <w:p>
            <w:r>
              <w:t>Impact if Missed</w:t>
            </w:r>
          </w:p>
        </w:tc>
      </w:tr>
      <w:tr>
        <w:tc>
          <w:tcPr>
            <w:tcW w:type="dxa" w:w="2160"/>
          </w:tcPr>
          <w:p>
            <w:r>
              <w:t>DEP-01</w:t>
            </w:r>
          </w:p>
        </w:tc>
        <w:tc>
          <w:tcPr>
            <w:tcW w:type="dxa" w:w="2160"/>
          </w:tcPr>
          <w:p>
            <w:r>
              <w:t>ACME baseline CMS-0057-F compliance project delivers FHIR API endpoints</w:t>
            </w:r>
          </w:p>
        </w:tc>
        <w:tc>
          <w:tcPr>
            <w:tcW w:type="dxa" w:w="2160"/>
          </w:tcPr>
          <w:p>
            <w:r>
              <w:t>R. Thorne</w:t>
            </w:r>
          </w:p>
        </w:tc>
        <w:tc>
          <w:tcPr>
            <w:tcW w:type="dxa" w:w="2160"/>
          </w:tcPr>
          <w:p>
            <w:r>
              <w:t>BRD-01 integration testing delayed; PA API features cannot be verified</w:t>
            </w:r>
          </w:p>
        </w:tc>
      </w:tr>
      <w:tr>
        <w:tc>
          <w:tcPr>
            <w:tcW w:type="dxa" w:w="2160"/>
          </w:tcPr>
          <w:p>
            <w:r>
              <w:t>DEP-02</w:t>
            </w:r>
          </w:p>
        </w:tc>
        <w:tc>
          <w:tcPr>
            <w:tcW w:type="dxa" w:w="2160"/>
          </w:tcPr>
          <w:p>
            <w:r>
              <w:t>AI Governance &amp; CoE Charter completion (Phase 0)</w:t>
            </w:r>
          </w:p>
        </w:tc>
        <w:tc>
          <w:tcPr>
            <w:tcW w:type="dxa" w:w="2160"/>
          </w:tcPr>
          <w:p>
            <w:r>
              <w:t>S. Khurana</w:t>
            </w:r>
          </w:p>
        </w:tc>
        <w:tc>
          <w:tcPr>
            <w:tcW w:type="dxa" w:w="2160"/>
          </w:tcPr>
          <w:p>
            <w:r>
              <w:t>JAD sessions and model governance gates cannot proceed</w:t>
            </w:r>
          </w:p>
        </w:tc>
      </w:tr>
      <w:tr>
        <w:tc>
          <w:tcPr>
            <w:tcW w:type="dxa" w:w="2160"/>
          </w:tcPr>
          <w:p>
            <w:r>
              <w:t>DEP-03</w:t>
            </w:r>
          </w:p>
        </w:tc>
        <w:tc>
          <w:tcPr>
            <w:tcW w:type="dxa" w:w="2160"/>
          </w:tcPr>
          <w:p>
            <w:r>
              <w:t>Data &amp; Cloud Platform Foundation go-live</w:t>
            </w:r>
          </w:p>
        </w:tc>
        <w:tc>
          <w:tcPr>
            <w:tcW w:type="dxa" w:w="2160"/>
          </w:tcPr>
          <w:p>
            <w:r>
              <w:t>W. Kumar</w:t>
            </w:r>
          </w:p>
        </w:tc>
        <w:tc>
          <w:tcPr>
            <w:tcW w:type="dxa" w:w="2160"/>
          </w:tcPr>
          <w:p>
            <w:r>
              <w:t>BRD-01 model development cannot accelerate; all BRDs delayed</w:t>
            </w:r>
          </w:p>
        </w:tc>
      </w:tr>
      <w:tr>
        <w:tc>
          <w:tcPr>
            <w:tcW w:type="dxa" w:w="2160"/>
          </w:tcPr>
          <w:p>
            <w:r>
              <w:t>DEP-04</w:t>
            </w:r>
          </w:p>
        </w:tc>
        <w:tc>
          <w:tcPr>
            <w:tcW w:type="dxa" w:w="2160"/>
          </w:tcPr>
          <w:p>
            <w:r>
              <w:t>Hyperscaler vendor infrastructure provisioning meets Phase 0 timelines</w:t>
            </w:r>
          </w:p>
        </w:tc>
        <w:tc>
          <w:tcPr>
            <w:tcW w:type="dxa" w:w="2160"/>
          </w:tcPr>
          <w:p>
            <w:r>
              <w:t>L. Park</w:t>
            </w:r>
          </w:p>
        </w:tc>
        <w:tc>
          <w:tcPr>
            <w:tcW w:type="dxa" w:w="2160"/>
          </w:tcPr>
          <w:p>
            <w:r>
              <w:t>Platform Foundation delayed; cascade to BRD-01 build</w:t>
            </w:r>
          </w:p>
        </w:tc>
      </w:tr>
      <w:tr>
        <w:tc>
          <w:tcPr>
            <w:tcW w:type="dxa" w:w="2160"/>
          </w:tcPr>
          <w:p>
            <w:r>
              <w:t>DEP-05</w:t>
            </w:r>
          </w:p>
        </w:tc>
        <w:tc>
          <w:tcPr>
            <w:tcW w:type="dxa" w:w="2160"/>
          </w:tcPr>
          <w:p>
            <w:r>
              <w:t>LLM provider API access and terms stable through Year 1</w:t>
            </w:r>
          </w:p>
        </w:tc>
        <w:tc>
          <w:tcPr>
            <w:tcW w:type="dxa" w:w="2160"/>
          </w:tcPr>
          <w:p>
            <w:r>
              <w:t>W. Kumar</w:t>
            </w:r>
          </w:p>
        </w:tc>
        <w:tc>
          <w:tcPr>
            <w:tcW w:type="dxa" w:w="2160"/>
          </w:tcPr>
          <w:p>
            <w:r>
              <w:t>BRD-01/02 model development disrupted; vendor contingency plan activated</w:t>
            </w:r>
          </w:p>
        </w:tc>
      </w:tr>
    </w:tbl>
    <w:p/>
    <w:p/>
    <w:p>
      <w:r>
        <w:rPr>
          <w:b/>
          <w:color w:val="1B3A6B"/>
          <w:sz w:val="28"/>
        </w:rPr>
        <w:t>Part VI — Authorization &amp; Approval</w:t>
      </w:r>
    </w:p>
    <w:p>
      <w:pPr>
        <w:pStyle w:val="Heading2"/>
      </w:pPr>
      <w:r>
        <w:t>22. Document Control</w:t>
      </w:r>
    </w:p>
    <w:tbl>
      <w:tblPr>
        <w:tblStyle w:val="TableGrid"/>
        <w:tblW w:type="auto" w:w="0"/>
        <w:tblLook w:firstColumn="1" w:firstRow="1" w:lastColumn="0" w:lastRow="0" w:noHBand="0" w:noVBand="1" w:val="04A0"/>
      </w:tblPr>
      <w:tblGrid>
        <w:gridCol w:w="4320"/>
        <w:gridCol w:w="4320"/>
      </w:tblGrid>
      <w:tr>
        <w:tc>
          <w:tcPr>
            <w:tcW w:type="dxa" w:w="4320"/>
          </w:tcPr>
          <w:p>
            <w:r>
              <w:t>Field</w:t>
            </w:r>
          </w:p>
        </w:tc>
        <w:tc>
          <w:tcPr>
            <w:tcW w:type="dxa" w:w="4320"/>
          </w:tcPr>
          <w:p>
            <w:r>
              <w:t>Value</w:t>
            </w:r>
          </w:p>
        </w:tc>
      </w:tr>
      <w:tr>
        <w:tc>
          <w:tcPr>
            <w:tcW w:type="dxa" w:w="4320"/>
          </w:tcPr>
          <w:p>
            <w:r>
              <w:t>Document Title</w:t>
            </w:r>
          </w:p>
        </w:tc>
        <w:tc>
          <w:tcPr>
            <w:tcW w:type="dxa" w:w="4320"/>
          </w:tcPr>
          <w:p>
            <w:r>
              <w:t>Program Charter — Project Catalyst</w:t>
            </w:r>
          </w:p>
        </w:tc>
      </w:tr>
      <w:tr>
        <w:tc>
          <w:tcPr>
            <w:tcW w:type="dxa" w:w="4320"/>
          </w:tcPr>
          <w:p>
            <w:r>
              <w:t>Version</w:t>
            </w:r>
          </w:p>
        </w:tc>
        <w:tc>
          <w:tcPr>
            <w:tcW w:type="dxa" w:w="4320"/>
          </w:tcPr>
          <w:p>
            <w:r>
              <w:t>1.0</w:t>
            </w:r>
          </w:p>
        </w:tc>
      </w:tr>
      <w:tr>
        <w:tc>
          <w:tcPr>
            <w:tcW w:type="dxa" w:w="4320"/>
          </w:tcPr>
          <w:p>
            <w:r>
              <w:t>Date</w:t>
            </w:r>
          </w:p>
        </w:tc>
        <w:tc>
          <w:tcPr>
            <w:tcW w:type="dxa" w:w="4320"/>
          </w:tcPr>
          <w:p>
            <w:r>
              <w:t>3 August 2026 (approved); 17 August 2026 (effective at Kickoff)</w:t>
            </w:r>
          </w:p>
        </w:tc>
      </w:tr>
      <w:tr>
        <w:tc>
          <w:tcPr>
            <w:tcW w:type="dxa" w:w="4320"/>
          </w:tcPr>
          <w:p>
            <w:r>
              <w:t>Classification</w:t>
            </w:r>
          </w:p>
        </w:tc>
        <w:tc>
          <w:tcPr>
            <w:tcW w:type="dxa" w:w="4320"/>
          </w:tcPr>
          <w:p>
            <w:r>
              <w:t>ACME Internal — Restricted Distribution</w:t>
            </w:r>
          </w:p>
        </w:tc>
      </w:tr>
      <w:tr>
        <w:tc>
          <w:tcPr>
            <w:tcW w:type="dxa" w:w="4320"/>
          </w:tcPr>
          <w:p>
            <w:r>
              <w:t>Change Authority</w:t>
            </w:r>
          </w:p>
        </w:tc>
        <w:tc>
          <w:tcPr>
            <w:tcW w:type="dxa" w:w="4320"/>
          </w:tcPr>
          <w:p>
            <w:r>
              <w:t>Executive Steering Board (via formal change control process)</w:t>
            </w:r>
          </w:p>
        </w:tc>
      </w:tr>
      <w:tr>
        <w:tc>
          <w:tcPr>
            <w:tcW w:type="dxa" w:w="4320"/>
          </w:tcPr>
          <w:p>
            <w:r>
              <w:t>Retention</w:t>
            </w:r>
          </w:p>
        </w:tc>
        <w:tc>
          <w:tcPr>
            <w:tcW w:type="dxa" w:w="4320"/>
          </w:tcPr>
          <w:p>
            <w:r>
              <w:t>Program lifecycle + 7 years per ACME retention policy</w:t>
            </w:r>
          </w:p>
        </w:tc>
      </w:tr>
    </w:tbl>
    <w:p/>
    <w:p>
      <w:pPr>
        <w:pStyle w:val="Heading2"/>
      </w:pPr>
      <w:r>
        <w:t>23. Related Documents</w:t>
      </w:r>
    </w:p>
    <w:p>
      <w:pPr>
        <w:pStyle w:val="ListBullet"/>
      </w:pPr>
      <w:r>
        <w:t>Program Governance Model— defines decision rights, board composition, phase-gate procedures</w:t>
      </w:r>
    </w:p>
    <w:p>
      <w:pPr>
        <w:pStyle w:val="ListBullet"/>
      </w:pPr>
      <w:r>
        <w:t>Program Management Plan— defines execution, monitoring, and control procedures</w:t>
      </w:r>
    </w:p>
    <w:p>
      <w:pPr>
        <w:pStyle w:val="ListBullet"/>
      </w:pPr>
      <w:r>
        <w:t>RAIDD Log— risk, assumption, issue, dependency, and decision register</w:t>
      </w:r>
    </w:p>
    <w:p>
      <w:pPr>
        <w:pStyle w:val="ListBullet"/>
      </w:pPr>
      <w:r>
        <w:t>Resource Plan— complete 262-person named roster</w:t>
      </w:r>
    </w:p>
    <w:p>
      <w:pPr>
        <w:pStyle w:val="ListBullet"/>
      </w:pPr>
      <w:r>
        <w:t>Organization Chart— full reporting structure</w:t>
      </w:r>
    </w:p>
    <w:p>
      <w:pPr>
        <w:pStyle w:val="ListBullet"/>
      </w:pPr>
      <w:r>
        <w:t>RACI Matrix— responsibility assignments</w:t>
      </w:r>
    </w:p>
    <w:p>
      <w:pPr>
        <w:pStyle w:val="ListBullet"/>
      </w:pPr>
      <w:r>
        <w:t>Cost-Benefit Analysis— financial justification and NPV analysis</w:t>
      </w:r>
    </w:p>
    <w:p>
      <w:pPr>
        <w:pStyle w:val="ListBullet"/>
      </w:pPr>
      <w:r>
        <w:t>Total Cost of Ownership— 10-year cost comparison</w:t>
      </w:r>
    </w:p>
    <w:p>
      <w:pPr>
        <w:pStyle w:val="ListBullet"/>
      </w:pPr>
      <w:r>
        <w:t>SOW-01,SOW-02,SOW-03— contractual scope and fee schedules</w:t>
      </w:r>
    </w:p>
    <w:p>
      <w:pPr>
        <w:pStyle w:val="ListBullet"/>
      </w:pPr>
      <w:r>
        <w:t>BRD-01,BRD-02,BRD-03— business requirements specifications</w:t>
      </w:r>
    </w:p>
    <w:p>
      <w:pPr>
        <w:pStyle w:val="ListBullet"/>
      </w:pPr>
      <w:r>
        <w:t>AI Governance &amp; JAD Charter— CoE mandate and JAD session structure</w:t>
      </w:r>
    </w:p>
    <w:p>
      <w:pPr>
        <w:pStyle w:val="ListBullet"/>
      </w:pPr>
      <w:r>
        <w:t>Change Control Log— formal change record</w:t>
      </w:r>
    </w:p>
    <w:p>
      <w:pPr>
        <w:pStyle w:val="ListBullet"/>
      </w:pPr>
      <w:r>
        <w:t>Communications Plan— stakeholder communication cadence</w:t>
      </w:r>
    </w:p>
    <w:p>
      <w:pPr>
        <w:pStyle w:val="Heading2"/>
      </w:pPr>
      <w:r>
        <w:t>24. Approval Signatures</w:t>
      </w:r>
    </w:p>
    <w:p>
      <w:r>
        <w:t>The undersigned approve this Charter and authorize the commencement of Project Catalyst as defined herein.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Role</w:t>
            </w:r>
          </w:p>
        </w:tc>
        <w:tc>
          <w:tcPr>
            <w:tcW w:type="dxa" w:w="2160"/>
          </w:tcPr>
          <w:p>
            <w:r>
              <w:t>Name</w:t>
            </w:r>
          </w:p>
        </w:tc>
        <w:tc>
          <w:tcPr>
            <w:tcW w:type="dxa" w:w="2160"/>
          </w:tcPr>
          <w:p>
            <w:r>
              <w:t>Organization</w:t>
            </w:r>
          </w:p>
        </w:tc>
        <w:tc>
          <w:tcPr>
            <w:tcW w:type="dxa" w:w="2160"/>
          </w:tcPr>
          <w:p>
            <w:r>
              <w:t>Approval</w:t>
            </w:r>
          </w:p>
        </w:tc>
      </w:tr>
      <w:tr>
        <w:tc>
          <w:tcPr>
            <w:tcW w:type="dxa" w:w="2160"/>
          </w:tcPr>
          <w:p>
            <w:r>
              <w:t>Executive Sponsor</w:t>
            </w:r>
          </w:p>
        </w:tc>
        <w:tc>
          <w:tcPr>
            <w:tcW w:type="dxa" w:w="2160"/>
          </w:tcPr>
          <w:p>
            <w:r>
              <w:t>M. Kavanagh</w:t>
            </w:r>
          </w:p>
        </w:tc>
        <w:tc>
          <w:tcPr>
            <w:tcW w:type="dxa" w:w="2160"/>
          </w:tcPr>
          <w:p>
            <w:r>
              <w:t>ACME Highland Health (COO)</w:t>
            </w:r>
          </w:p>
        </w:tc>
        <w:tc>
          <w:tcPr>
            <w:tcW w:type="dxa" w:w="2160"/>
          </w:tcPr>
          <w:p>
            <w:r>
              <w:t>Approved — 3 Aug 2026</w:t>
            </w:r>
          </w:p>
        </w:tc>
      </w:tr>
      <w:tr>
        <w:tc>
          <w:tcPr>
            <w:tcW w:type="dxa" w:w="2160"/>
          </w:tcPr>
          <w:p>
            <w:r>
              <w:t>CIO</w:t>
            </w:r>
          </w:p>
        </w:tc>
        <w:tc>
          <w:tcPr>
            <w:tcW w:type="dxa" w:w="2160"/>
          </w:tcPr>
          <w:p>
            <w:r>
              <w:t>R. Chen</w:t>
            </w:r>
          </w:p>
        </w:tc>
        <w:tc>
          <w:tcPr>
            <w:tcW w:type="dxa" w:w="2160"/>
          </w:tcPr>
          <w:p>
            <w:r>
              <w:t>ACME Highland Health</w:t>
            </w:r>
          </w:p>
        </w:tc>
        <w:tc>
          <w:tcPr>
            <w:tcW w:type="dxa" w:w="2160"/>
          </w:tcPr>
          <w:p>
            <w:r>
              <w:t>Approved — 3 Aug 2026</w:t>
            </w:r>
          </w:p>
        </w:tc>
      </w:tr>
      <w:tr>
        <w:tc>
          <w:tcPr>
            <w:tcW w:type="dxa" w:w="2160"/>
          </w:tcPr>
          <w:p>
            <w:r>
              <w:t>CFO</w:t>
            </w:r>
          </w:p>
        </w:tc>
        <w:tc>
          <w:tcPr>
            <w:tcW w:type="dxa" w:w="2160"/>
          </w:tcPr>
          <w:p>
            <w:r>
              <w:t>S. Williams</w:t>
            </w:r>
          </w:p>
        </w:tc>
        <w:tc>
          <w:tcPr>
            <w:tcW w:type="dxa" w:w="2160"/>
          </w:tcPr>
          <w:p>
            <w:r>
              <w:t>ACME Highland Health</w:t>
            </w:r>
          </w:p>
        </w:tc>
        <w:tc>
          <w:tcPr>
            <w:tcW w:type="dxa" w:w="2160"/>
          </w:tcPr>
          <w:p>
            <w:r>
              <w:t>Approved — 3 Aug 2026</w:t>
            </w:r>
          </w:p>
        </w:tc>
      </w:tr>
      <w:tr>
        <w:tc>
          <w:tcPr>
            <w:tcW w:type="dxa" w:w="2160"/>
          </w:tcPr>
          <w:p>
            <w:r>
              <w:t>General Counsel</w:t>
            </w:r>
          </w:p>
        </w:tc>
        <w:tc>
          <w:tcPr>
            <w:tcW w:type="dxa" w:w="2160"/>
          </w:tcPr>
          <w:p>
            <w:r>
              <w:t>R. Thorne</w:t>
            </w:r>
          </w:p>
        </w:tc>
        <w:tc>
          <w:tcPr>
            <w:tcW w:type="dxa" w:w="2160"/>
          </w:tcPr>
          <w:p>
            <w:r>
              <w:t>ACME Highland Health</w:t>
            </w:r>
          </w:p>
        </w:tc>
        <w:tc>
          <w:tcPr>
            <w:tcW w:type="dxa" w:w="2160"/>
          </w:tcPr>
          <w:p>
            <w:r>
              <w:t>Approved — 3 Aug 2026</w:t>
            </w:r>
          </w:p>
        </w:tc>
      </w:tr>
      <w:tr>
        <w:tc>
          <w:tcPr>
            <w:tcW w:type="dxa" w:w="2160"/>
          </w:tcPr>
          <w:p>
            <w:r>
              <w:t>Chief Medical Officer</w:t>
            </w:r>
          </w:p>
        </w:tc>
        <w:tc>
          <w:tcPr>
            <w:tcW w:type="dxa" w:w="2160"/>
          </w:tcPr>
          <w:p>
            <w:r>
              <w:t>Dr. N. Patel</w:t>
            </w:r>
          </w:p>
        </w:tc>
        <w:tc>
          <w:tcPr>
            <w:tcW w:type="dxa" w:w="2160"/>
          </w:tcPr>
          <w:p>
            <w:r>
              <w:t>ACME Highland Health</w:t>
            </w:r>
          </w:p>
        </w:tc>
        <w:tc>
          <w:tcPr>
            <w:tcW w:type="dxa" w:w="2160"/>
          </w:tcPr>
          <w:p>
            <w:r>
              <w:t>Approved — 3 Aug 2026</w:t>
            </w:r>
          </w:p>
        </w:tc>
      </w:tr>
      <w:tr>
        <w:tc>
          <w:tcPr>
            <w:tcW w:type="dxa" w:w="2160"/>
          </w:tcPr>
          <w:p>
            <w:r>
              <w:t>Chief Compliance Officer</w:t>
            </w:r>
          </w:p>
        </w:tc>
        <w:tc>
          <w:tcPr>
            <w:tcW w:type="dxa" w:w="2160"/>
          </w:tcPr>
          <w:p>
            <w:r>
              <w:t>J. Martinez</w:t>
            </w:r>
          </w:p>
        </w:tc>
        <w:tc>
          <w:tcPr>
            <w:tcW w:type="dxa" w:w="2160"/>
          </w:tcPr>
          <w:p>
            <w:r>
              <w:t>ACME Highland Health</w:t>
            </w:r>
          </w:p>
        </w:tc>
        <w:tc>
          <w:tcPr>
            <w:tcW w:type="dxa" w:w="2160"/>
          </w:tcPr>
          <w:p>
            <w:r>
              <w:t>Approved — 3 Aug 2026</w:t>
            </w:r>
          </w:p>
        </w:tc>
      </w:tr>
      <w:tr>
        <w:tc>
          <w:tcPr>
            <w:tcW w:type="dxa" w:w="2160"/>
          </w:tcPr>
          <w:p>
            <w:r>
              <w:t>Program Director</w:t>
            </w:r>
          </w:p>
        </w:tc>
        <w:tc>
          <w:tcPr>
            <w:tcW w:type="dxa" w:w="2160"/>
          </w:tcPr>
          <w:p>
            <w:r>
              <w:t>C. Tyrrell</w:t>
            </w:r>
          </w:p>
        </w:tc>
        <w:tc>
          <w:tcPr>
            <w:tcW w:type="dxa" w:w="2160"/>
          </w:tcPr>
          <w:p>
            <w:r>
              <w:t>Pulaski Advisory Group</w:t>
            </w:r>
          </w:p>
        </w:tc>
        <w:tc>
          <w:tcPr>
            <w:tcW w:type="dxa" w:w="2160"/>
          </w:tcPr>
          <w:p>
            <w:r>
              <w:t>Acknowledged — 3 Aug 2026</w:t>
            </w:r>
          </w:p>
        </w:tc>
      </w:tr>
    </w:tbl>
    <w:p/>
    <w:p/>
    <w:p>
      <w:r>
        <w:rPr>
          <w:color w:val="808080"/>
          <w:sz w:val="18"/>
        </w:rPr>
        <w:t>Illustrative program data — created to demonstrate large-scale AI program management practice.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