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color w:val="5B6472"/>
          <w:sz w:val="18"/>
        </w:rPr>
        <w:t>Lighthouse Financial Services Company</w:t>
      </w:r>
    </w:p>
    <w:p>
      <w:r>
        <w:rPr>
          <w:b/>
          <w:color w:val="14352A"/>
          <w:sz w:val="34"/>
        </w:rPr>
        <w:t>Roles &amp; Responsibilities</w:t>
      </w:r>
    </w:p>
    <w:p>
      <w:r>
        <w:rPr>
          <w:color w:val="1E5945"/>
          <w:sz w:val="18"/>
        </w:rPr>
        <w:t>Roles &amp; Responsibilities</w:t>
      </w:r>
    </w:p>
    <w:p/>
    <w:p>
      <w:pPr>
        <w:spacing w:before="280" w:after="80"/>
      </w:pPr>
      <w:r>
        <w:rPr>
          <w:b/>
          <w:i w:val="0"/>
          <w:color w:val="14352A"/>
          <w:sz w:val="28"/>
        </w:rPr>
        <w:t>1. Why This Document Exists</w:t>
      </w:r>
    </w:p>
    <w:p>
      <w:pPr>
        <w:spacing w:after="120"/>
      </w:pPr>
      <w:r>
        <w:rPr>
          <w:b w:val="0"/>
          <w:i w:val="0"/>
          <w:sz w:val="20"/>
        </w:rPr>
        <w:t xml:space="preserve">At 262 people across 25 teams, no individual can know what the program is doing. That is not a failure of management attention; it is arithmetic. A program of this size either substitutes </w:t>
      </w:r>
      <w:r>
        <w:rPr>
          <w:b/>
          <w:i w:val="0"/>
          <w:sz w:val="20"/>
        </w:rPr>
        <w:t>structure</w:t>
      </w:r>
      <w:r>
        <w:rPr>
          <w:b w:val="0"/>
          <w:i w:val="0"/>
          <w:sz w:val="20"/>
        </w:rPr>
        <w:t xml:space="preserve"> for personal knowledge or it substitutes </w:t>
      </w:r>
      <w:r>
        <w:rPr>
          <w:b/>
          <w:i w:val="0"/>
          <w:sz w:val="20"/>
        </w:rPr>
        <w:t>optimism</w:t>
      </w:r>
      <w:r>
        <w:rPr>
          <w:b w:val="0"/>
          <w:i w:val="0"/>
          <w:sz w:val="20"/>
        </w:rPr>
        <w:t>, and the second option is how AI programs put an unvalidated model in front of a member.</w:t>
      </w:r>
    </w:p>
    <w:p>
      <w:pPr>
        <w:spacing w:after="120"/>
      </w:pPr>
      <w:r>
        <w:rPr>
          <w:b w:val="0"/>
          <w:i w:val="0"/>
          <w:sz w:val="20"/>
        </w:rPr>
        <w:t xml:space="preserve">So this document is not a directory. It states what each function owns, and it states the thing an org chart actively obscures: </w:t>
      </w:r>
      <w:r>
        <w:rPr>
          <w:b/>
          <w:i w:val="0"/>
          <w:sz w:val="20"/>
        </w:rPr>
        <w:t>which decisions have been deliberately placed beyond the reach of the person accountable for delivery.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48"/>
      </w:tblGrid>
      <w:tr>
        <w:tc>
          <w:tcPr>
            <w:tcW w:type="dxa" w:w="9648"/>
            <w:shd w:val="clear" w:fill="E8F1ED"/>
          </w:tcPr>
          <w:p>
            <w:pPr>
              <w:spacing w:after="120"/>
            </w:pPr>
            <w:r>
              <w:rPr>
                <w:b/>
                <w:i w:val="0"/>
                <w:sz w:val="20"/>
              </w:rPr>
              <w:t>The design principle that governs everything below.</w:t>
            </w:r>
            <w:r>
              <w:rPr>
                <w:b w:val="0"/>
                <w:i w:val="0"/>
                <w:sz w:val="20"/>
              </w:rPr>
              <w:t xml:space="preserve"> ⚠⚠ </w:t>
            </w:r>
            <w:r>
              <w:rPr>
                <w:b/>
                <w:i w:val="0"/>
                <w:sz w:val="20"/>
              </w:rPr>
              <w:t>No model reaches production without clean Independent Model Validation sign-off AND AI Governance Board approval</w:t>
            </w:r>
            <w:r>
              <w:rPr>
                <w:b w:val="0"/>
                <w:i w:val="0"/>
                <w:sz w:val="20"/>
              </w:rPr>
              <w:t xml:space="preserve"> — and that requirement </w:t>
            </w:r>
            <w:r>
              <w:rPr>
                <w:b/>
                <w:i w:val="0"/>
                <w:sz w:val="20"/>
              </w:rPr>
              <w:t>cannot be overridden by schedule pressure, by an Executive Sponsor request, or by any other governance body.</w:t>
            </w:r>
            <w:r>
              <w:rPr>
                <w:b w:val="0"/>
                <w:i w:val="0"/>
                <w:sz w:val="20"/>
              </w:rPr>
              <w:t xml:space="preserve"> ***The Program Director cannot approve his own work, and neither can the Executive Sponsor. That is not an oversight in the authority structure; it is the authority structure.***</w:t>
            </w:r>
          </w:p>
        </w:tc>
      </w:tr>
    </w:tbl>
    <w:p/>
    <w:p>
      <w:pPr>
        <w:spacing w:before="280" w:after="80"/>
      </w:pPr>
      <w:r>
        <w:rPr>
          <w:b/>
          <w:i w:val="0"/>
          <w:color w:val="14352A"/>
          <w:sz w:val="28"/>
        </w:rPr>
        <w:t>2. The Shape of the Organization</w:t>
      </w:r>
    </w:p>
    <w:p>
      <w:pPr>
        <w:spacing w:after="120"/>
      </w:pPr>
      <w:r>
        <w:rPr>
          <w:b w:val="0"/>
          <w:i w:val="0"/>
          <w:sz w:val="20"/>
        </w:rPr>
        <w:t xml:space="preserve">Four authority levels, and the most informative thing about them is </w:t>
      </w:r>
      <w:r>
        <w:rPr>
          <w:b/>
          <w:i w:val="0"/>
          <w:sz w:val="20"/>
        </w:rPr>
        <w:t>where the Program Director is not.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12"/>
        <w:gridCol w:w="2412"/>
        <w:gridCol w:w="2412"/>
        <w:gridCol w:w="2412"/>
      </w:tblGrid>
      <w:tr>
        <w:tc>
          <w:tcPr>
            <w:tcW w:type="dxa" w:w="2412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Level</w:t>
            </w:r>
          </w:p>
        </w:tc>
        <w:tc>
          <w:tcPr>
            <w:tcW w:type="dxa" w:w="2412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Authority</w:t>
            </w:r>
          </w:p>
        </w:tc>
        <w:tc>
          <w:tcPr>
            <w:tcW w:type="dxa" w:w="2412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Held by</w:t>
            </w:r>
          </w:p>
        </w:tc>
        <w:tc>
          <w:tcPr>
            <w:tcW w:type="dxa" w:w="2412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Decides</w:t>
            </w:r>
          </w:p>
        </w:tc>
      </w:tr>
      <w:tr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1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Strategic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M. Kavanagh, ACME COO (Executive Sponsor)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Program viability, budget re-baseline, regulatory escalation, board deadlock, contingency &gt;$1M</w:t>
            </w:r>
          </w:p>
        </w:tc>
      </w:tr>
      <w:tr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2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Governance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Three boards</w:t>
            </w:r>
            <w:r>
              <w:rPr>
                <w:b w:val="0"/>
                <w:i w:val="0"/>
                <w:sz w:val="17"/>
              </w:rPr>
              <w:t xml:space="preserve"> — see §3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 xml:space="preserve">Phase-gate sign-off, </w:t>
            </w:r>
            <w:r>
              <w:rPr>
                <w:b/>
                <w:i w:val="0"/>
                <w:sz w:val="17"/>
              </w:rPr>
              <w:t>model production release</w:t>
            </w:r>
            <w:r>
              <w:rPr>
                <w:b w:val="0"/>
                <w:i w:val="0"/>
                <w:sz w:val="17"/>
              </w:rPr>
              <w:t>, architecture approval, changes beyond Program Director authority</w:t>
            </w:r>
          </w:p>
        </w:tc>
      </w:tr>
      <w:tr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3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Program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C. Tyrrell, Program Director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 xml:space="preserve">Day-to-day delivery coordination, </w:t>
            </w:r>
            <w:r>
              <w:rPr>
                <w:b/>
                <w:i w:val="0"/>
                <w:sz w:val="17"/>
              </w:rPr>
              <w:t>schedule movement within ±2 weeks</w:t>
            </w:r>
            <w:r>
              <w:rPr>
                <w:b w:val="0"/>
                <w:i w:val="0"/>
                <w:sz w:val="17"/>
              </w:rPr>
              <w:t>, resource changes</w:t>
            </w:r>
          </w:p>
        </w:tc>
      </w:tr>
      <w:tr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4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Execution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Team and BRD leads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Task sequencing and method within their own scope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48"/>
      </w:tblGrid>
      <w:tr>
        <w:tc>
          <w:tcPr>
            <w:tcW w:type="dxa" w:w="9648"/>
            <w:shd w:val="clear" w:fill="E8F1ED"/>
          </w:tcPr>
          <w:p>
            <w:pPr>
              <w:spacing w:after="120"/>
            </w:pPr>
            <w:r>
              <w:rPr>
                <w:b w:val="0"/>
                <w:i w:val="0"/>
                <w:sz w:val="20"/>
              </w:rPr>
              <w:t xml:space="preserve">⚠ </w:t>
            </w:r>
            <w:r>
              <w:rPr>
                <w:b/>
                <w:i w:val="0"/>
                <w:sz w:val="20"/>
              </w:rPr>
              <w:t>Read Level 3 carefully.</w:t>
            </w:r>
            <w:r>
              <w:rPr>
                <w:b w:val="0"/>
                <w:i w:val="0"/>
                <w:sz w:val="20"/>
              </w:rPr>
              <w:t xml:space="preserve"> On a $69M, three-year, 262-person program the Program Director's unilateral schedule authority is </w:t>
            </w:r>
            <w:r>
              <w:rPr>
                <w:b/>
                <w:i w:val="0"/>
                <w:sz w:val="20"/>
              </w:rPr>
              <w:t>two weeks</w:t>
            </w:r>
            <w:r>
              <w:rPr>
                <w:b w:val="0"/>
                <w:i w:val="0"/>
                <w:sz w:val="20"/>
              </w:rPr>
              <w:t>. Everything beyond that is a board decision. ***That is not a diminished role — it is what accountability looks like when the failure mode is a bad model in production rather than a late release.***</w:t>
            </w:r>
          </w:p>
        </w:tc>
      </w:tr>
    </w:tbl>
    <w:p/>
    <w:p>
      <w:pPr>
        <w:spacing w:before="280" w:after="80"/>
      </w:pPr>
      <w:r>
        <w:rPr>
          <w:b/>
          <w:i w:val="0"/>
          <w:color w:val="14352A"/>
          <w:sz w:val="28"/>
        </w:rPr>
        <w:t>3. The Three Boards — and Why There Are Three</w:t>
      </w:r>
    </w:p>
    <w:p>
      <w:pPr>
        <w:spacing w:after="120"/>
      </w:pPr>
      <w:r>
        <w:rPr>
          <w:b w:val="0"/>
          <w:i w:val="0"/>
          <w:sz w:val="20"/>
        </w:rPr>
        <w:t xml:space="preserve">One board would be simpler and would concentrate exactly the authority this design is trying to separate. </w:t>
      </w:r>
      <w:r>
        <w:rPr>
          <w:b/>
          <w:i w:val="0"/>
          <w:sz w:val="20"/>
        </w:rPr>
        <w:t>The Program Director chairs none of them.</w:t>
      </w:r>
      <w:r>
        <w:rPr>
          <w:b w:val="0"/>
          <w:i w:val="0"/>
          <w:sz w:val="20"/>
        </w:rPr>
        <w:t xml:space="preserve"> He assembles evidence, submits gate packages, and receives decisions.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12"/>
        <w:gridCol w:w="2412"/>
        <w:gridCol w:w="2412"/>
        <w:gridCol w:w="2412"/>
      </w:tblGrid>
      <w:tr>
        <w:tc>
          <w:tcPr>
            <w:tcW w:type="dxa" w:w="2412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Board</w:t>
            </w:r>
          </w:p>
        </w:tc>
        <w:tc>
          <w:tcPr>
            <w:tcW w:type="dxa" w:w="2412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Chair</w:t>
            </w:r>
          </w:p>
        </w:tc>
        <w:tc>
          <w:tcPr>
            <w:tcW w:type="dxa" w:w="2412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Owns</w:t>
            </w:r>
          </w:p>
        </w:tc>
        <w:tc>
          <w:tcPr>
            <w:tcW w:type="dxa" w:w="2412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Blocking power</w:t>
            </w:r>
          </w:p>
        </w:tc>
      </w:tr>
      <w:tr>
        <w:tc>
          <w:tcPr>
            <w:tcW w:type="dxa" w:w="2412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Executive Steering Board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M. Kavanagh (COO)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Phase-gate sign-off, scope for Years 2 and 3, regulatory and reputational risk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A phase gate without ESB approval does not advance.</w:t>
            </w:r>
          </w:p>
        </w:tc>
      </w:tr>
      <w:tr>
        <w:tc>
          <w:tcPr>
            <w:tcW w:type="dxa" w:w="2412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AI Governance Board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S. Khurana (AI Governance Director)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Model production release, fairness and bias posture, clinical and privacy acceptability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No model to production without its approval.</w:t>
            </w:r>
          </w:p>
        </w:tc>
      </w:tr>
      <w:tr>
        <w:tc>
          <w:tcPr>
            <w:tcW w:type="dxa" w:w="2412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Enterprise Architecture Review Board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D. Chen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Technical fit, platform standards, security sign-off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No architecture change without EARB sign-off.</w:t>
            </w:r>
          </w:p>
        </w:tc>
      </w:tr>
    </w:tbl>
    <w:p/>
    <w:p>
      <w:pPr>
        <w:spacing w:after="120"/>
      </w:pPr>
      <w:r>
        <w:rPr>
          <w:b w:val="0"/>
          <w:i w:val="0"/>
          <w:sz w:val="20"/>
        </w:rPr>
        <w:t xml:space="preserve">⚠ </w:t>
      </w:r>
      <w:r>
        <w:rPr>
          <w:b/>
          <w:i w:val="0"/>
          <w:sz w:val="20"/>
        </w:rPr>
        <w:t>No board may overrule another.</w:t>
      </w:r>
      <w:r>
        <w:rPr>
          <w:b w:val="0"/>
          <w:i w:val="0"/>
          <w:sz w:val="20"/>
        </w:rPr>
        <w:t xml:space="preserve"> Where two disagree, the conflict escalates to Level 1 for resolution rather than being settled by whichever chair is more senior or more insistent. </w:t>
      </w:r>
      <w:r>
        <w:rPr>
          <w:b/>
          <w:i w:val="0"/>
          <w:sz w:val="20"/>
        </w:rPr>
        <w:t>That rule is what stops a three-board structure collapsing into one board with two advisory committees.</w:t>
      </w:r>
    </w:p>
    <w:p>
      <w:pPr>
        <w:spacing w:before="280" w:after="80"/>
      </w:pPr>
      <w:r>
        <w:rPr>
          <w:b/>
          <w:i w:val="0"/>
          <w:color w:val="14352A"/>
          <w:sz w:val="28"/>
        </w:rPr>
        <w:t>4. The Functions That Exist To Be Able To Say No</w:t>
      </w:r>
    </w:p>
    <w:p>
      <w:pPr>
        <w:spacing w:after="120"/>
      </w:pPr>
      <w:r>
        <w:rPr>
          <w:b w:val="0"/>
          <w:i w:val="0"/>
          <w:sz w:val="20"/>
        </w:rPr>
        <w:t>Four of the 25 teams are structurally independent of delivery. They are worth naming together, because their independence is the mechanism rather than a courtesy.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16"/>
        <w:gridCol w:w="3216"/>
        <w:gridCol w:w="3216"/>
      </w:tblGrid>
      <w:tr>
        <w:tc>
          <w:tcPr>
            <w:tcW w:type="dxa" w:w="3216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Function</w:t>
            </w:r>
          </w:p>
        </w:tc>
        <w:tc>
          <w:tcPr>
            <w:tcW w:type="dxa" w:w="3216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Lead</w:t>
            </w:r>
          </w:p>
        </w:tc>
        <w:tc>
          <w:tcPr>
            <w:tcW w:type="dxa" w:w="3216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Independence mechanism</w:t>
            </w:r>
          </w:p>
        </w:tc>
      </w:tr>
      <w:tr>
        <w:tc>
          <w:tcPr>
            <w:tcW w:type="dxa" w:w="3216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Independent Model Validation</w:t>
            </w:r>
            <w:r>
              <w:rPr>
                <w:b w:val="0"/>
                <w:i w:val="0"/>
                <w:sz w:val="17"/>
              </w:rPr>
              <w:t xml:space="preserve"> (6)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P. Okafor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 xml:space="preserve">⚠ </w:t>
            </w:r>
            <w:r>
              <w:rPr>
                <w:b/>
                <w:i w:val="0"/>
                <w:sz w:val="17"/>
              </w:rPr>
              <w:t>Reports through a different authority chain than the BRD delivery teams</w:t>
            </w:r>
            <w:r>
              <w:rPr>
                <w:b w:val="0"/>
                <w:i w:val="0"/>
                <w:sz w:val="17"/>
              </w:rPr>
              <w:t xml:space="preserve"> — it does not report to the Program Director, and its sign-off is a precondition, not an input</w:t>
            </w:r>
          </w:p>
        </w:tc>
      </w:tr>
      <w:tr>
        <w:tc>
          <w:tcPr>
            <w:tcW w:type="dxa" w:w="3216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Data Privacy Office</w:t>
            </w:r>
            <w:r>
              <w:rPr>
                <w:b w:val="0"/>
                <w:i w:val="0"/>
                <w:sz w:val="17"/>
              </w:rPr>
              <w:t xml:space="preserve"> (5)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E. Sato, Chief Privacy Officer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Sits on the AI Governance Board; privacy determinations are not delivery trade-offs</w:t>
            </w:r>
          </w:p>
        </w:tc>
      </w:tr>
      <w:tr>
        <w:tc>
          <w:tcPr>
            <w:tcW w:type="dxa" w:w="3216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SOX / Financial Controls</w:t>
            </w:r>
            <w:r>
              <w:rPr>
                <w:b w:val="0"/>
                <w:i w:val="0"/>
                <w:sz w:val="17"/>
              </w:rPr>
              <w:t xml:space="preserve"> (6)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—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Control testing scope is not set by the program</w:t>
            </w:r>
          </w:p>
        </w:tc>
      </w:tr>
      <w:tr>
        <w:tc>
          <w:tcPr>
            <w:tcW w:type="dxa" w:w="3216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Clinical / Medical Policy</w:t>
            </w:r>
            <w:r>
              <w:rPr>
                <w:b w:val="0"/>
                <w:i w:val="0"/>
                <w:sz w:val="17"/>
              </w:rPr>
              <w:t xml:space="preserve"> (6)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Dr. N. Patel, CMO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Clinical acceptability is a stop, not a factor to be balanced against velocity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48"/>
      </w:tblGrid>
      <w:tr>
        <w:tc>
          <w:tcPr>
            <w:tcW w:type="dxa" w:w="9648"/>
            <w:shd w:val="clear" w:fill="E8F1ED"/>
          </w:tcPr>
          <w:p>
            <w:pPr>
              <w:spacing w:after="120"/>
            </w:pPr>
            <w:r>
              <w:rPr>
                <w:b/>
                <w:i w:val="0"/>
                <w:sz w:val="20"/>
              </w:rPr>
              <w:t>The test used throughout this portfolio:</w:t>
            </w:r>
            <w:r>
              <w:rPr>
                <w:b w:val="0"/>
                <w:i w:val="0"/>
                <w:sz w:val="20"/>
              </w:rPr>
              <w:t xml:space="preserve"> if the program can change the answer by asking harder, it was never an independent function. ⚠ </w:t>
            </w:r>
            <w:r>
              <w:rPr>
                <w:b/>
                <w:i w:val="0"/>
                <w:sz w:val="20"/>
              </w:rPr>
              <w:t>Independent Model Validation is the sharpest instance in the entire portfolio</w:t>
            </w:r>
            <w:r>
              <w:rPr>
                <w:b w:val="0"/>
                <w:i w:val="0"/>
                <w:sz w:val="20"/>
              </w:rPr>
              <w:t xml:space="preserve"> — it is the only function whose reporting line was deliberately routed away from the program in order to protect its ability to refuse.</w:t>
            </w:r>
          </w:p>
        </w:tc>
      </w:tr>
    </w:tbl>
    <w:p/>
    <w:p>
      <w:pPr>
        <w:spacing w:before="280" w:after="80"/>
      </w:pPr>
      <w:r>
        <w:rPr>
          <w:b/>
          <w:i w:val="0"/>
          <w:color w:val="14352A"/>
          <w:sz w:val="28"/>
        </w:rPr>
        <w:t>5. The Delivery Organization</w:t>
      </w:r>
    </w:p>
    <w:p>
      <w:pPr>
        <w:spacing w:after="120"/>
      </w:pPr>
      <w:r>
        <w:rPr>
          <w:b w:val="0"/>
          <w:i w:val="0"/>
          <w:sz w:val="20"/>
        </w:rPr>
        <w:t>The remaining teams do the work. Three BRDs carry the AI capability itself; the rest are the platform, quality and enablement functions that any program of this size needs.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12"/>
        <w:gridCol w:w="2412"/>
        <w:gridCol w:w="2412"/>
        <w:gridCol w:w="2412"/>
      </w:tblGrid>
      <w:tr>
        <w:tc>
          <w:tcPr>
            <w:tcW w:type="dxa" w:w="2412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Grouping</w:t>
            </w:r>
          </w:p>
        </w:tc>
        <w:tc>
          <w:tcPr>
            <w:tcW w:type="dxa" w:w="2412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Teams</w:t>
            </w:r>
          </w:p>
        </w:tc>
        <w:tc>
          <w:tcPr>
            <w:tcW w:type="dxa" w:w="2412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Owns</w:t>
            </w:r>
          </w:p>
        </w:tc>
        <w:tc>
          <w:tcPr>
            <w:tcW w:type="dxa" w:w="2412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Does not own</w:t>
            </w:r>
          </w:p>
        </w:tc>
      </w:tr>
      <w:tr>
        <w:tc>
          <w:tcPr>
            <w:tcW w:type="dxa" w:w="2412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Program Leadership &amp; PMO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16 people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Integrated plan, reporting, gate packages, dependency management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Any gate decision</w:t>
            </w:r>
          </w:p>
        </w:tc>
      </w:tr>
      <w:tr>
        <w:tc>
          <w:tcPr>
            <w:tcW w:type="dxa" w:w="2412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The three BRDs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Claims &amp; Prior Auth; Member/Provider UX; Underwriting &amp; Risk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Requirements, build, and the model within their domain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Whether their own model is fit for production</w:t>
            </w:r>
          </w:p>
        </w:tc>
      </w:tr>
      <w:tr>
        <w:tc>
          <w:tcPr>
            <w:tcW w:type="dxa" w:w="2412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Data &amp; Cloud AI Platform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20 people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The platform every BRD builds on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BRD-level scope</w:t>
            </w:r>
          </w:p>
        </w:tc>
      </w:tr>
      <w:tr>
        <w:tc>
          <w:tcPr>
            <w:tcW w:type="dxa" w:w="2412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QA &amp; Testing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18 people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Test strategy, execution, quality evidence at each gate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The gate decision itself</w:t>
            </w:r>
          </w:p>
        </w:tc>
      </w:tr>
      <w:tr>
        <w:tc>
          <w:tcPr>
            <w:tcW w:type="dxa" w:w="2412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Cybersecurity, IT Ops, Enterprise Architecture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28 people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Security posture, environments, technical standards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—</w:t>
            </w:r>
          </w:p>
        </w:tc>
      </w:tr>
      <w:tr>
        <w:tc>
          <w:tcPr>
            <w:tcW w:type="dxa" w:w="2412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Change, Training, Comms, UX, HR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26 people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Adoption, readiness, workforce impact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Whether the business is ready — they report it, they cannot create it</w:t>
            </w:r>
          </w:p>
        </w:tc>
      </w:tr>
    </w:tbl>
    <w:p/>
    <w:p>
      <w:pPr>
        <w:spacing w:after="120"/>
      </w:pPr>
      <w:r>
        <w:rPr>
          <w:b w:val="0"/>
          <w:i w:val="0"/>
          <w:sz w:val="20"/>
        </w:rPr>
        <w:t xml:space="preserve">⚠ </w:t>
      </w:r>
      <w:r>
        <w:rPr>
          <w:b/>
          <w:i w:val="0"/>
          <w:sz w:val="20"/>
        </w:rPr>
        <w:t>A BRD team does not certify its own model.</w:t>
      </w:r>
      <w:r>
        <w:rPr>
          <w:b w:val="0"/>
          <w:i w:val="0"/>
          <w:sz w:val="20"/>
        </w:rPr>
        <w:t xml:space="preserve"> It builds it, evidences it, and hands it to a validation function it does not control. ***This is the single most transferable idea in the suite: the people who build a model are the worst-placed people to judge whether it should ship, and no amount of integrity fixes that — only structure does.***</w:t>
      </w:r>
    </w:p>
    <w:p>
      <w:pPr>
        <w:spacing w:before="280" w:after="80"/>
      </w:pPr>
      <w:r>
        <w:rPr>
          <w:b/>
          <w:i w:val="0"/>
          <w:color w:val="14352A"/>
          <w:sz w:val="28"/>
        </w:rPr>
        <w:t>6. Who Decides What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12"/>
        <w:gridCol w:w="2412"/>
        <w:gridCol w:w="2412"/>
        <w:gridCol w:w="2412"/>
      </w:tblGrid>
      <w:tr>
        <w:tc>
          <w:tcPr>
            <w:tcW w:type="dxa" w:w="2412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Decision</w:t>
            </w:r>
          </w:p>
        </w:tc>
        <w:tc>
          <w:tcPr>
            <w:tcW w:type="dxa" w:w="2412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Recommends</w:t>
            </w:r>
          </w:p>
        </w:tc>
        <w:tc>
          <w:tcPr>
            <w:tcW w:type="dxa" w:w="2412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Decides</w:t>
            </w:r>
          </w:p>
        </w:tc>
        <w:tc>
          <w:tcPr>
            <w:tcW w:type="dxa" w:w="2412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Can be overridden by</w:t>
            </w:r>
          </w:p>
        </w:tc>
      </w:tr>
      <w:tr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Task sequencing within a team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—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Team lead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Program Director</w:t>
            </w:r>
          </w:p>
        </w:tc>
      </w:tr>
      <w:tr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Schedule movement ≤ 2 weeks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Team leads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Program Director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The relevant board</w:t>
            </w:r>
          </w:p>
        </w:tc>
      </w:tr>
      <w:tr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Schedule movement &gt; 2 weeks, or any scope/budget change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Program Director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Governance board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Level 1, on deadlock only</w:t>
            </w:r>
          </w:p>
        </w:tc>
      </w:tr>
      <w:tr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Architecture change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Enterprise Architecture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EARB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Level 1, on deadlock only</w:t>
            </w:r>
          </w:p>
        </w:tc>
      </w:tr>
      <w:tr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Phase gate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Program Director (assembles the package)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Executive Steering Board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—</w:t>
            </w:r>
          </w:p>
        </w:tc>
      </w:tr>
      <w:tr>
        <w:tc>
          <w:tcPr>
            <w:tcW w:type="dxa" w:w="2412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Model to production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BRD team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Independent Model Validation + AI Governance Board, both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 xml:space="preserve">⚠ </w:t>
            </w:r>
            <w:r>
              <w:rPr>
                <w:b/>
                <w:i w:val="0"/>
                <w:sz w:val="17"/>
              </w:rPr>
              <w:t>Nobody. Not the Sponsor, not another board, not schedule pressure.</w:t>
            </w:r>
          </w:p>
        </w:tc>
      </w:tr>
    </w:tbl>
    <w:p/>
    <w:p>
      <w:pPr>
        <w:spacing w:before="280" w:after="80"/>
      </w:pPr>
      <w:r>
        <w:rPr>
          <w:b/>
          <w:i w:val="0"/>
          <w:color w:val="14352A"/>
          <w:sz w:val="28"/>
        </w:rPr>
        <w:t>7. How This Compares To the Other Programs Here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12"/>
        <w:gridCol w:w="2412"/>
        <w:gridCol w:w="2412"/>
        <w:gridCol w:w="2412"/>
      </w:tblGrid>
      <w:tr>
        <w:tc>
          <w:tcPr>
            <w:tcW w:type="dxa" w:w="2412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Question</w:t>
            </w:r>
          </w:p>
        </w:tc>
        <w:tc>
          <w:tcPr>
            <w:tcW w:type="dxa" w:w="2412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Catalyst (this suite)</w:t>
            </w:r>
          </w:p>
        </w:tc>
        <w:tc>
          <w:tcPr>
            <w:tcW w:type="dxa" w:w="2412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Lighthouse (stage-gate)</w:t>
            </w:r>
          </w:p>
        </w:tc>
        <w:tc>
          <w:tcPr>
            <w:tcW w:type="dxa" w:w="2412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PM / Agile (commercial)</w:t>
            </w:r>
          </w:p>
        </w:tc>
      </w:tr>
      <w:tr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Who chairs the deciding body?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Not the Program Director — three separate chairs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 xml:space="preserve">The Program Manager, </w:t>
            </w:r>
            <w:r>
              <w:rPr>
                <w:b/>
                <w:i w:val="0"/>
                <w:sz w:val="17"/>
              </w:rPr>
              <w:t>without a vote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The Program Manager, as chair</w:t>
            </w:r>
          </w:p>
        </w:tc>
      </w:tr>
      <w:tr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What stops the work?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A failed validation, unappealably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A gate decision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A sponsor decision</w:t>
            </w:r>
          </w:p>
        </w:tc>
      </w:tr>
      <w:tr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PM's unilateral schedule authority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±2 weeks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Within the gate window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Within the approved envelope</w:t>
            </w:r>
          </w:p>
        </w:tc>
      </w:tr>
      <w:tr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What is being protected?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The member on the other side of the model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The capital decision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The delivery commitment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48"/>
      </w:tblGrid>
      <w:tr>
        <w:tc>
          <w:tcPr>
            <w:tcW w:type="dxa" w:w="9648"/>
            <w:shd w:val="clear" w:fill="E8F1ED"/>
          </w:tcPr>
          <w:p>
            <w:pPr>
              <w:spacing w:after="120"/>
            </w:pPr>
            <w:r>
              <w:rPr>
                <w:b w:val="0"/>
                <w:i w:val="0"/>
                <w:sz w:val="20"/>
              </w:rPr>
              <w:t xml:space="preserve">⚠ </w:t>
            </w:r>
            <w:r>
              <w:rPr>
                <w:b/>
                <w:i w:val="0"/>
                <w:sz w:val="20"/>
              </w:rPr>
              <w:t>Catalyst and Lighthouse solve the same problem two different ways.</w:t>
            </w:r>
            <w:r>
              <w:rPr>
                <w:b w:val="0"/>
                <w:i w:val="0"/>
                <w:sz w:val="20"/>
              </w:rPr>
              <w:t xml:space="preserve"> Lighthouse lets the Program Manager chair the deciding board but </w:t>
            </w:r>
            <w:r>
              <w:rPr>
                <w:b/>
                <w:i w:val="0"/>
                <w:sz w:val="20"/>
              </w:rPr>
              <w:t>removes his vote</w:t>
            </w:r>
            <w:r>
              <w:rPr>
                <w:b w:val="0"/>
                <w:i w:val="0"/>
                <w:sz w:val="20"/>
              </w:rPr>
              <w:t xml:space="preserve">. Catalyst lets him keep a vote nowhere, by </w:t>
            </w:r>
            <w:r>
              <w:rPr>
                <w:b/>
                <w:i w:val="0"/>
                <w:sz w:val="20"/>
              </w:rPr>
              <w:t>never seating him on the boards at all</w:t>
            </w:r>
            <w:r>
              <w:rPr>
                <w:b w:val="0"/>
                <w:i w:val="0"/>
                <w:sz w:val="20"/>
              </w:rPr>
              <w:t>. ***Both designs start from the same premise: the person who assembles the evidence must not be the person who rules on it.*** Which is right depends on how much the organization values the chair's context against the appearance of independence — and both answers are defensible.</w:t>
            </w:r>
          </w:p>
        </w:tc>
      </w:tr>
    </w:tbl>
    <w:p/>
    <w:p/>
    <w:p>
      <w:pPr>
        <w:jc w:val="left"/>
      </w:pPr>
      <w:r>
        <w:rPr>
          <w:color w:val="5B6472"/>
          <w:sz w:val="15"/>
        </w:rPr>
        <w:t>Illustrative program data — created to demonstrate AI program governance practice, not a real client engagement.</w:t>
      </w:r>
    </w:p>
    <w:sectPr w:rsidR="00FC693F" w:rsidRPr="0006063C" w:rsidSect="00034616">
      <w:pgSz w:w="12240" w:h="15840"/>
      <w:pgMar w:top="1152" w:right="1296" w:bottom="115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