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MASTER TEST &amp; QA STRATEGY</w:t>
      </w:r>
    </w:p>
    <w:p>
      <w:pPr>
        <w:spacing w:before="0" w:after="40"/>
      </w:pPr>
      <w:r>
        <w:rPr>
          <w:b w:val="0"/>
          <w:color w:val="2B5C8A"/>
          <w:sz w:val="22"/>
        </w:rPr>
        <w:t>Quality — Project Catalyst, AI Transformation Program</w:t>
      </w:r>
    </w:p>
    <w:p>
      <w:pPr>
        <w:spacing w:before="0" w:after="200"/>
      </w:pPr>
      <w:r>
        <w:rPr>
          <w:b w:val="0"/>
          <w:color w:val="5B6472"/>
          <w:sz w:val="19"/>
        </w:rPr>
        <w:t>ACME Highland Health  |  Pulaski Advisory Group  |  $99M · 262 people · 36.5 months</w:t>
      </w:r>
    </w:p>
    <w:p>
      <w:r>
        <w:rPr>
          <w:i/>
          <w:color w:val="5B6472"/>
        </w:rPr>
        <w:t xml:space="preserve">The governing quality document for </w:t>
      </w:r>
      <w:r>
        <w:rPr>
          <w:b/>
          <w:i/>
          <w:color w:val="5B6472"/>
        </w:rPr>
        <w:t>Project Catalyst</w:t>
      </w:r>
      <w:r>
        <w:rPr>
          <w:i/>
          <w:color w:val="5B6472"/>
        </w:rPr>
        <w:t xml:space="preserve">. It defines how the program tests — across three AI delivery legs, a shared data and cloud platform, and a governance layer — and it applies to every workstream, vendor, and release for the life of the program. Individual test plans (per BRD, per release) sit beneath this strategy and inherit from it; where a test plan is silent, this document governs. Structured in line with </w:t>
      </w:r>
      <w:r>
        <w:rPr>
          <w:b/>
          <w:i/>
          <w:color w:val="5B6472"/>
        </w:rPr>
        <w:t>ISO/IEC/IEEE 29119</w:t>
      </w:r>
      <w:r>
        <w:rPr>
          <w:i/>
          <w:color w:val="5B6472"/>
        </w:rPr>
        <w:t>, the international software testing standard series that superseded IEEE 829 and added explicit organizational test policy and strategy layers.</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central premise.</w:t>
            </w:r>
            <w:r>
              <w:rPr/>
              <w:t xml:space="preserve"> Testing an AI program is not testing software with extra steps. A traditional application is deterministic: given an input, a correct output exists and can be asserted. A model is probabilistic — it can be accurate on average and still be unfair, poorly calibrated, brittle under adversarial input, or silently degrading against last quarter's data. This strategy therefore runs </w:t>
            </w:r>
            <w:r>
              <w:rPr>
                <w:b/>
              </w:rPr>
              <w:t>two distinct but connected test disciplines</w:t>
            </w:r>
            <w:r>
              <w:rPr/>
              <w:t>: conventional software testing of the applications and integrations, and model validation of the AI itself. Both must pass before anything reaches production.</w:t>
            </w:r>
          </w:p>
        </w:tc>
      </w:tr>
    </w:tbl>
    <w:p/>
    <w:p>
      <w:pPr>
        <w:pStyle w:val="Heading2"/>
      </w:pPr>
      <w:r>
        <w:rPr>
          <w:color w:val="1B3A6B"/>
        </w:rPr>
        <w:t>1 · Purpose, Scope &amp; Objectives</w:t>
      </w:r>
    </w:p>
    <w:p>
      <w:pPr>
        <w:pStyle w:val="Heading3"/>
      </w:pPr>
      <w:r>
        <w:rPr>
          <w:color w:val="2B5C8A"/>
        </w:rPr>
        <w:t>Purpose</w:t>
      </w:r>
    </w:p>
    <w:p>
      <w:r>
        <w:rPr/>
        <w:t>To define a single, consistent, auditable approach to quality across Project Catalyst so that AI capability reaches ACME's members, providers, and underwriters only when it has been demonstrated to be functionally correct, performant, secure, fair, explainable, and compliant — and so that it stays that way after go-live.</w:t>
      </w:r>
    </w:p>
    <w:p>
      <w:pPr>
        <w:pStyle w:val="Heading3"/>
      </w:pPr>
      <w:r>
        <w:rPr>
          <w:color w:val="2B5C8A"/>
        </w:rPr>
        <w:t>In scope</w:t>
      </w:r>
    </w:p>
    <w:p>
      <w:pPr>
        <w:pStyle w:val="ListBullet"/>
      </w:pPr>
      <w:r>
        <w:rPr/>
        <w:t>All three delivery legs: BRD-01 Claims &amp; Prior Authorization AI, BRD-02 Member &amp; Provider Experience AI, BRD-03 Underwriting &amp; Risk AI.</w:t>
      </w:r>
    </w:p>
    <w:p>
      <w:pPr>
        <w:pStyle w:val="ListBullet"/>
      </w:pPr>
      <w:r>
        <w:rPr/>
        <w:t>The Data &amp; Cloud AI Platform, its data pipelines, feature store, and MLOps tooling.</w:t>
      </w:r>
    </w:p>
    <w:p>
      <w:pPr>
        <w:pStyle w:val="ListBullet"/>
      </w:pPr>
      <w:r>
        <w:rPr/>
        <w:t>Integrations with ACME claims, member, provider, and underwriting systems.</w:t>
      </w:r>
    </w:p>
    <w:p>
      <w:pPr>
        <w:pStyle w:val="ListBullet"/>
      </w:pPr>
      <w:r>
        <w:rPr/>
        <w:t>AI/ML models, including training data quality, model performance, and post-deployment behavior.</w:t>
      </w:r>
    </w:p>
    <w:p>
      <w:pPr>
        <w:pStyle w:val="ListBullet"/>
      </w:pPr>
      <w:r>
        <w:rPr/>
        <w:t>Non-functional characteristics: performance, security, accessibility, and regulatory compliance.</w:t>
      </w:r>
    </w:p>
    <w:p>
      <w:pPr>
        <w:pStyle w:val="Heading3"/>
      </w:pPr>
      <w:r>
        <w:rPr>
          <w:color w:val="2B5C8A"/>
        </w:rPr>
        <w:t>Out of scope</w:t>
      </w:r>
    </w:p>
    <w:p>
      <w:pPr>
        <w:pStyle w:val="ListBullet"/>
      </w:pPr>
      <w:r>
        <w:rPr/>
        <w:t>CMS-0057-F baseline compliance testing — a separate ACME project; only the integration interface is tested here.</w:t>
      </w:r>
    </w:p>
    <w:p>
      <w:pPr>
        <w:pStyle w:val="ListBullet"/>
      </w:pPr>
      <w:r>
        <w:rPr/>
        <w:t>Testing of ACME legacy systems beyond the interfaces this program consumes or writes to.</w:t>
      </w:r>
    </w:p>
    <w:p>
      <w:pPr>
        <w:pStyle w:val="ListBullet"/>
      </w:pPr>
      <w:r>
        <w:rPr/>
        <w:t>Vendor-internal testing of the hyperscaler or foundation-model platform, which is evidenced through vendor attestation and contractual assurance rather than re-tested by the program.</w:t>
      </w:r>
    </w:p>
    <w:p>
      <w:pPr>
        <w:pStyle w:val="Heading3"/>
      </w:pPr>
      <w:r>
        <w:rPr>
          <w:color w:val="2B5C8A"/>
        </w:rPr>
        <w:t>Objectives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Objective</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How it is met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No critical defect reaches production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Tiered test levels with enforced exit criteria and a production readiness gate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 model reaches production without independent validation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Second-line IMV sign-off is a mandatory, non-waivable gate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Quality is evidenced, not asserted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Traceability from requirement → test case → result → defect → release record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Testing scales across three parallel delivery legs</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Shared automation framework, common environments, reusable regression suites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Quality persists after go-live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Continuous monitoring, drift detection, and scheduled re-validation</w:t>
            </w:r>
          </w:p>
        </w:tc>
      </w:tr>
    </w:tbl>
    <w:p/>
    <w:p>
      <w:pPr>
        <w:pStyle w:val="Heading2"/>
      </w:pPr>
      <w:r>
        <w:rPr>
          <w:color w:val="1B3A6B"/>
        </w:rPr>
        <w:t>2 · Standards &amp; Framework Alignment</w:t>
      </w:r>
    </w:p>
    <w:p>
      <w:r>
        <w:rPr/>
        <w:t>The strategy is anchored to recognized external standards rather than invented convention, so that ACME's internal audit, regulators, and external reviewers can map it to frameworks they already accept.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Framework</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Applies to</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How this program uses it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ISO/IEC/IEEE 29119</w:t>
            </w:r>
            <w:r>
              <w:rPr>
                <w:sz w:val="18"/>
              </w:rPr>
              <w:t xml:space="preserve"> (Parts 1–4)</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Software testing process &amp; documentation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Structural basis for this strategy, the test process model, test documentation set, and test design techniques. Part 1 (2022) supplies the risk-based approach; Part 3 supplies documentation templates.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NIST AI Risk Management Framework</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AI trustworthiness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Source of the model test dimensions in Section 5 — validity, reliability, safety, security, fairness, explainability. NIST's position that AI systems be tested before deployment </w:t>
            </w:r>
            <w:r>
              <w:rPr>
                <w:i/>
                <w:sz w:val="18"/>
              </w:rPr>
              <w:t>and regularly while in operation</w:t>
            </w:r>
            <w:r>
              <w:rPr>
                <w:sz w:val="18"/>
              </w:rPr>
              <w:t xml:space="preserve"> drives Section 12.</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ISO/IEC 42001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AI management system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Governance wrapper — links test evidence to the AI management system and model registry.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SR 11-7 model risk principles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risk management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Basis for the two-line-of-defense split: delivery teams build and test; Independent Model Validation independently validates.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HIPAA / PHI handling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Test data</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Governs Section 9 — test data management, masking, and environment segregation.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Program-internal</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color w:val="2B5C8A"/>
                <w:sz w:val="18"/>
              </w:rPr>
              <w:t>AI Governance &amp; JAD Charter</w:t>
            </w:r>
            <w:r>
              <w:rPr>
                <w:sz w:val="18"/>
              </w:rPr>
              <w:t xml:space="preserve">, </w:t>
            </w:r>
            <w:r>
              <w:rPr>
                <w:color w:val="2B5C8A"/>
                <w:sz w:val="18"/>
              </w:rPr>
              <w:t>Methodology Guide</w:t>
            </w:r>
            <w:r>
              <w:rPr>
                <w:sz w:val="18"/>
              </w:rPr>
              <w:t xml:space="preserve">, </w:t>
            </w:r>
            <w:r>
              <w:rPr>
                <w:color w:val="2B5C8A"/>
                <w:sz w:val="18"/>
              </w:rPr>
              <w:t>RAIDD Log</w:t>
            </w:r>
          </w:p>
        </w:tc>
      </w:tr>
    </w:tbl>
    <w:p/>
    <w:p>
      <w:pPr>
        <w:pStyle w:val="Heading2"/>
      </w:pPr>
      <w:r>
        <w:rPr>
          <w:color w:val="1B3A6B"/>
        </w:rPr>
        <w:t>3 · Test Organization &amp; Responsibilities</w:t>
      </w:r>
    </w:p>
    <w:p>
      <w:r>
        <w:rPr/>
        <w:t>Thirty-five people across three independent groups. The separation is deliberate: the team that builds a model cannot be the team that clears it for production.</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Group</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Size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Reports to</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Responsibility</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Line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QA &amp; Testing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18</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QA Lead (Pulaski)</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Test planning, case design, execution across unit through system/E2E, automation framework, performance and regression testing, defect triage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First</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User Acceptance Testing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11</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Operational Testing Manager (ACME)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Business-scenario validation, operational readiness, UAT sign-off. Deliberately independent of the delivery teams and on loan from Operations, not from IT.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Business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Independent Model Validation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 Okafor, reporting outside delivery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Independent replication, fairness re-testing, calibration and robustness assessment, production gate sign-off for every model</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Second</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Cybersecurity / InfoSec</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CISO</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and penetration testing, threat modelling, controls assurance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Supporting</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Clinical / Medical Policy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Chief Medical Officer</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Clinical validity review of decision logic and medical-necessity criteria</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Supporting</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Privacy Office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Chief Privacy Officer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DPIA, PHI handling assurance in test environments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Supporting</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Independence is a control, not an org-chart detail.</w:t>
            </w:r>
            <w:r>
              <w:rPr/>
              <w:t xml:space="preserve"> UAT reports through Operations and IMV reports outside the delivery line specifically so that neither can be pressured by a delivery deadline. If a delivery lead could overrule an IMV finding, the second line would provide no assurance at all.</w:t>
            </w:r>
          </w:p>
        </w:tc>
      </w:tr>
    </w:tbl>
    <w:p/>
    <w:p>
      <w:pPr>
        <w:pStyle w:val="Heading2"/>
      </w:pPr>
      <w:r>
        <w:rPr>
          <w:color w:val="1B3A6B"/>
        </w:rPr>
        <w:t>4 · Test Levels (Application &amp; Integration)</w:t>
      </w:r>
    </w:p>
    <w:p>
      <w:r>
        <w:rPr/>
        <w:t>Conventional software test levels, applied to the applications, APIs, workflows, and integrations that surround the models.</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Level</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Scope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Approach</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Automation Target</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Unit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Delivery engineers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Individual components, functions, transformations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Developer-written, executed in CI on every commit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 95%</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Component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&amp; Testing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Services and modules in isolation with stubbed dependencies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suite in CI</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85%</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Integration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QA &amp; Testing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Service-to-service, API contracts, data pipeline handoffs, legacy interfaces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Contract testing plus scenario-based integration suites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 75%</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 End-to-End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&amp; Testing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Complete business workflows across the assembled solution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Scripted functional scenarios plus exploratory testing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60%</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Non-functional</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QA + InfoSec</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Performance, load, resilience, security, accessibility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Specialist tooling per characteristic (Section 6)</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 70%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User Acceptance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 team (ACME)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Real business scenarios executed by operational staff</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Manual, business-scenario driven, two cycles plus regression confirmation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Manual by design</w:t>
            </w:r>
          </w:p>
        </w:tc>
      </w:tr>
    </w:tbl>
    <w:p/>
    <w:p>
      <w:pPr>
        <w:pStyle w:val="Heading2"/>
      </w:pPr>
      <w:r>
        <w:rPr>
          <w:color w:val="1B3A6B"/>
        </w:rPr>
        <w:t>5 · AI / ML Model Test Dimensions</w:t>
      </w:r>
    </w:p>
    <w:p>
      <w:r>
        <w:rPr/>
        <w:t>These are additional to — never a substitute for — the levels above. A model that passes functional testing can still be unfit for production on any of these eight dimensions. Each is assessed by the delivery team (first line) and independently re-assessed by IMV (second line) before the production gate.</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Dimension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Question it answers</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Method</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Gate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Data quality &amp; representativeness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Is the training and evaluation data complete, accurate, and representative of the population the model will serve?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Profiling, completeness and distribution analysis, sub-population coverage checks against ACME's member mix</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Pre-training</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Performance &amp; generalization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Does it perform on data it has never seen, not just on its training set?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Hold-out and cross-validation; precision, recall, F1, AUC against agreed thresholds per use case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Pre-pilot</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Calibration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When the model says it is 80% confident, is it right about 80% of the time?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Reliability curves, calibration error — critical because confidence thresholds drive the human-in-the-loop routing rules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Pre-pilot</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Robustness &amp; adversarial resistance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Does it hold up under noisy, edge-case, malformed, or hostile input?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Perturbation testing, edge-case suites, adversarial probes; prompt-injection testing for language interfaces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Pre-production</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Fairness &amp; bias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Does performance hold across protected and clinically relevant sub-populations?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Disaggregated performance analysis across sub-populations, agreed fairness metrics, disparity thresholds set with Compliance and Clinical</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Pre-production — blocking</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Explainability</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Can a human understand and defend why a decision was made?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Feature-attribution review, decision-path inspection, clinical reviewer comprehension testing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Pre-production</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Inference integrity &amp; reproducibility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Does the same input reliably produce the same output, and can a past decision be reproduced?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Determinism checks, versioned model + data + config lineage, replay of historical decisions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Pre-production</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Drift &amp; stability</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Is it still behaving as validated, months after go-live?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Continuous data and prediction drift monitoring with alert thresholds; scheduled re-validation (Section 12)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Post-production, continuous</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Fairness is a blocking gate.</w:t>
            </w:r>
            <w:r>
              <w:rPr/>
              <w:t xml:space="preserve"> Of the eight dimensions, fairness and independent validation are the two that cannot be waived by any delivery authority. A fairness finding stops the release until remediated and re-validated, regardless of schedule pressure — a control the program expects to exercise at least once, since RSK-06 anticipates exactly this scenario on the underwriting model.</w:t>
            </w:r>
          </w:p>
        </w:tc>
      </w:tr>
    </w:tbl>
    <w:p/>
    <w:p>
      <w:pPr>
        <w:pStyle w:val="Heading2"/>
      </w:pPr>
      <w:r>
        <w:rPr>
          <w:color w:val="1B3A6B"/>
        </w:rPr>
        <w:t>6 · Test Types by Quality Characteristic</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Characteristic</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is tested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Acceptance basis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Functional correctness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Business rules, decision logic, workflow routing, data transformations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100% of critical-path requirements traced and passing</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Performance &amp; scalability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Inference latency, throughput at projected volume, batch window completion, concurrency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Meets service-level targets at 1.5× projected peak volume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Security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Authentication, authorization, encryption, injection resistance, model endpoint protection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Zero high or critical findings open at release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Privacy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PHI handling, minimum necessary access, data residency, audit logging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DPIA complete; Data Privacy Office sign-off</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Accessibility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Member and provider interfaces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WCAG 2.2 AA conformance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Regulatory compliance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Prior-auth decisioning rules, disclosure and disclaimer behavior, record retention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Compliance and Legal sign-off per release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Operability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Monitoring, alerting, failover, rollback, runbook accuracy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Operational readiness review passed</w:t>
            </w:r>
          </w:p>
        </w:tc>
      </w:tr>
    </w:tbl>
    <w:p/>
    <w:p>
      <w:pPr>
        <w:pStyle w:val="Heading2"/>
      </w:pPr>
      <w:r>
        <w:rPr>
          <w:color w:val="1B3A6B"/>
        </w:rPr>
        <w:t>7 · Risk-Based Test Approach</w:t>
      </w:r>
    </w:p>
    <w:p>
      <w:r>
        <w:rPr/>
        <w:t>ISO/IEC/IEEE 29119-1 frames testing as the primary means of treating product risk, and this program allocates test effort accordingly rather than spreading it evenly. Test depth is set by the consequence of failure.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Risk Tier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Characteristics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Examples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Test Depth</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Tier 1 — 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Affects a coverage or payment decision, patient care, regulatory obligation, or PHI</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Prior-auth decisioning, claims adjudication logic, underwriting risk scoring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levels, all eight model dimensions, IMV mandatory, clinical review, full regression, shadow-mode operation before live decisioning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Tier 2 — Significant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or provider-facing, or feeds a Tier 1 process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virtual assistant, provider portal AI, agent-assist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levels, model dimensions 1–7, IMV mandatory, human-in-the-loop controls verified, staged rollout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Tier 3 — Standard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Internal-facing, no direct decision or member impact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Internal analytics, operational dashboards, developer tooling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Standard levels, automated regression, risk-proportionate model checks</w:t>
            </w:r>
          </w:p>
        </w:tc>
      </w:tr>
    </w:tbl>
    <w:p/>
    <w:p>
      <w:r>
        <w:rPr/>
        <w:t xml:space="preserve">Risk tiers are assigned at requirements sign-off and recorded in the requirements traceability matrix. Product risks that materialize become entries on the </w:t>
      </w:r>
      <w:r>
        <w:rPr>
          <w:color w:val="2B5C8A"/>
        </w:rPr>
        <w:t>RAIDD Log</w:t>
      </w:r>
      <w:r>
        <w:rPr/>
        <w:t>; RSK-01 (data fragmentation), RSK-03 (chatbot liability), and RSK-06 (model bias) each map directly to test dimensions above.</w:t>
      </w:r>
    </w:p>
    <w:p>
      <w:pPr>
        <w:pStyle w:val="Heading2"/>
      </w:pPr>
      <w:r>
        <w:rPr>
          <w:color w:val="1B3A6B"/>
        </w:rPr>
        <w:t>8 · Entry &amp; Exit Criteria</w:t>
      </w:r>
    </w:p>
    <w:p>
      <w:r>
        <w:rPr/>
        <w:t>Criteria are enforced, not advisory. A level does not begin until entry criteria are met, and does not close until exit criteria are evidenced.</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Level</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Entry Criteria</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Exit Criteria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Integration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Components unit-tested and passing; interfaces stable; environment provisioned; test data available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95% planned cases executed; no open critical or high defects; interface contracts verified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 E2E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 exit met; full workflow deployed; requirements traceability current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 critical-path scenarios passed; ≥ 98% overall pass rate; no open critical or high defects; performance targets met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Model validation (IMV)</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Model card complete; first-line results submitted; training data lineage documented; fairness analysis provided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Independent replication successful; fairness within agreed thresholds; calibration acceptable; formal IMV sign-off issued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exit met; IMV sign-off issued; UAT environment loaded with representative data; users trained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business scenarios executed; no open critical or high defects; business sign-off recorded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Production release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All above complete; operational readiness review passed; rollback rehearsed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Three-board production readiness approval (ESB, AIGB, EARB); hypercare staffed and monitoring live</w:t>
            </w:r>
          </w:p>
        </w:tc>
      </w:tr>
    </w:tbl>
    <w:p/>
    <w:p>
      <w:pPr>
        <w:pStyle w:val="Heading2"/>
      </w:pPr>
      <w:r>
        <w:rPr>
          <w:color w:val="1B3A6B"/>
        </w:rPr>
        <w:t>9 · Test Environments &amp; Data Management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Environment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Data</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Refresh</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Development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Engineer workstation and shared dev</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Synthetic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demand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 / QA</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Component, integration, system execution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Masked / de-identified production-derived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Weekly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Model training &amp; evaluation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Model development and validation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Governed PHI under approved access, onshore-only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training cycle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Performance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Load, stress, endurance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Volume-scaled synthetic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release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UAT / Staging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Business acceptance; production mirror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Masked production-derived, full referential integrity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release cycle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Live operation and monitoring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Live PHI</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t>
            </w:r>
          </w:p>
        </w:tc>
      </w:tr>
    </w:tbl>
    <w:p/>
    <w:p>
      <w:pPr>
        <w:pStyle w:val="Heading3"/>
      </w:pPr>
      <w:r>
        <w:rPr>
          <w:color w:val="2B5C8A"/>
        </w:rPr>
        <w:t>Test data principles</w:t>
      </w:r>
    </w:p>
    <w:p>
      <w:pPr>
        <w:pStyle w:val="ListBullet"/>
      </w:pPr>
      <w:r>
        <w:rPr>
          <w:b/>
        </w:rPr>
        <w:t>PHI never leaves approved boundaries.</w:t>
      </w:r>
      <w:r>
        <w:rPr/>
        <w:t xml:space="preserve"> Offshore engineering works exclusively with synthetic or fully de-identified data; onshore-only access applies to any environment containing real claims-decision data — the control that RSK-08 anticipates being tested by privacy audit.</w:t>
      </w:r>
    </w:p>
    <w:p>
      <w:pPr>
        <w:pStyle w:val="ListBullet"/>
      </w:pPr>
      <w:r>
        <w:rPr>
          <w:b/>
        </w:rPr>
        <w:t>Masking preserves statistical shape.</w:t>
      </w:r>
      <w:r>
        <w:rPr/>
        <w:t xml:space="preserve"> De-identification must retain distributional properties, or model evaluation on masked data becomes meaningless.</w:t>
      </w:r>
    </w:p>
    <w:p>
      <w:pPr>
        <w:pStyle w:val="ListBullet"/>
      </w:pPr>
      <w:r>
        <w:rPr>
          <w:b/>
        </w:rPr>
        <w:t>Representativeness is verified, not assumed.</w:t>
      </w:r>
      <w:r>
        <w:rPr/>
        <w:t xml:space="preserve"> Evaluation datasets are checked for sub-population coverage before use in fairness testing.</w:t>
      </w:r>
    </w:p>
    <w:p>
      <w:pPr>
        <w:pStyle w:val="ListBullet"/>
      </w:pPr>
      <w:r>
        <w:rPr>
          <w:b/>
        </w:rPr>
        <w:t>Data, model, and config are versioned together.</w:t>
      </w:r>
      <w:r>
        <w:rPr/>
        <w:t xml:space="preserve"> Any validated result must be reproducible from its recorded lineage.</w:t>
      </w:r>
    </w:p>
    <w:p>
      <w:pPr>
        <w:pStyle w:val="Heading2"/>
      </w:pPr>
      <w:r>
        <w:rPr>
          <w:color w:val="1B3A6B"/>
        </w:rPr>
        <w:t>10 · Defect Management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Severity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Release Impact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Incorrect coverage/payment decision, PHI exposure, safety or regulatory breach, or complete loss of service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Immediate; work stops until resolved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Blocks release absolutely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Major function unusable, significant model performance shortfall, no workaround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Within 2 business days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Blocks release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Medium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Function impaired with an acceptable workaround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Within the release cycle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Release with documented workaround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Cosmetic or minor usability issue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Backlog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 impact</w:t>
            </w:r>
          </w:p>
        </w:tc>
      </w:tr>
    </w:tbl>
    <w:p/>
    <w:p>
      <w:r>
        <w:rPr/>
        <w:t>Defects are triaged daily during active test windows by QA Lead, delivery lead, and business analyst. Any defect arising from model behavior — rather than code — is additionally routed to the AI Governance Board, because the remedy is usually retraining or threshold adjustment rather than a code fix, and that is a governance decision.</w:t>
      </w:r>
    </w:p>
    <w:p>
      <w:pPr>
        <w:pStyle w:val="Heading2"/>
      </w:pPr>
      <w:r>
        <w:rPr>
          <w:color w:val="1B3A6B"/>
        </w:rPr>
        <w:t>11 · Test Automation Strategy</w:t>
      </w:r>
    </w:p>
    <w:p>
      <w:r>
        <w:rPr/>
        <w:t>Automation exists to make regression affordable across three parallel delivery legs and a three-year program. It is not a target in itself.</w:t>
      </w:r>
    </w:p>
    <w:p>
      <w:pPr>
        <w:pStyle w:val="ListBullet"/>
      </w:pPr>
      <w:r>
        <w:rPr>
          <w:b/>
        </w:rPr>
        <w:t>Automate the repeatable, explore the novel.</w:t>
      </w:r>
      <w:r>
        <w:rPr/>
        <w:t xml:space="preserve"> Regression, contract, and data-pipeline checks are automated; first-pass validation of new AI behavior is exploratory and human-led.</w:t>
      </w:r>
    </w:p>
    <w:p>
      <w:pPr>
        <w:pStyle w:val="ListBullet"/>
      </w:pPr>
      <w:r>
        <w:rPr>
          <w:b/>
        </w:rPr>
        <w:t>CI/CD gating.</w:t>
      </w:r>
      <w:r>
        <w:rPr/>
        <w:t xml:space="preserve"> Unit and component suites run on every commit; integration and regression suites run nightly and as a release gate. A failing gate blocks promotion.</w:t>
      </w:r>
    </w:p>
    <w:p>
      <w:pPr>
        <w:pStyle w:val="ListBullet"/>
      </w:pPr>
      <w:r>
        <w:rPr>
          <w:b/>
        </w:rPr>
        <w:t>Model evaluation is automated as a pipeline stage</w:t>
      </w:r>
      <w:r>
        <w:rPr/>
        <w:t>, so performance, calibration, and fairness metrics are produced on every training run rather than assembled by hand at gate time.</w:t>
      </w:r>
    </w:p>
    <w:p>
      <w:pPr>
        <w:pStyle w:val="ListBullet"/>
      </w:pPr>
      <w:r>
        <w:rPr>
          <w:b/>
        </w:rPr>
        <w:t>Test assets are versioned with the code</w:t>
      </w:r>
      <w:r>
        <w:rPr/>
        <w:t xml:space="preserve"> they exercise and owned by the team that owns the component.</w:t>
      </w:r>
    </w:p>
    <w:p>
      <w:pPr>
        <w:pStyle w:val="ListBullet"/>
      </w:pPr>
      <w:r>
        <w:rPr>
          <w:b/>
        </w:rPr>
        <w:t>The automation framework is shared</w:t>
      </w:r>
      <w:r>
        <w:rPr/>
        <w:t xml:space="preserve"> across BRD-01/02/03 — built once during BRD-01, reused thereafter, which is a substantial part of why Year 2 can run two delivery legs in parallel.</w:t>
      </w:r>
    </w:p>
    <w:p>
      <w:pPr>
        <w:pStyle w:val="Heading2"/>
      </w:pPr>
      <w:r>
        <w:rPr>
          <w:color w:val="1B3A6B"/>
        </w:rPr>
        <w:t>12 · Continuous Testing in Production</w:t>
      </w:r>
    </w:p>
    <w:p>
      <w:r>
        <w:rPr/>
        <w:t xml:space="preserve">NIST's framing is that AI systems be tested before deployment </w:t>
      </w:r>
      <w:r>
        <w:rPr>
          <w:i/>
        </w:rPr>
        <w:t>and regularly while in operation</w:t>
      </w:r>
      <w:r>
        <w:rPr/>
        <w:t>. For a probabilistic system, release is not the end of testing — it is the point at which testing changes form.</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Activity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Cadence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Trigger for action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&amp; prediction drift monitoring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Continuous, automated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Platform / MLOps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Drift beyond threshold → investigation and possible retraining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Live performance monitoring against validated baselines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Continuous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Delivery + CoE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Degradation beyond tolerance → AI Governance Board review</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Human-override rate tracking (prior auth)</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Weekly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Clinical + CoE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Elevated override rate → decision-logic review; this is the early-warning signal for RSK-04</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Fairness re-assessment on production data</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Quarterly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IMV</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Disparity beyond threshold → blocking remediation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Full model re-validation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Annually, and on any material retrain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IMV</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Failure → model withdrawn from autonomous operation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Production regression suite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release and monthly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&amp; Testing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Failure → rollback consideration</w:t>
            </w:r>
          </w:p>
        </w:tc>
      </w:tr>
    </w:tbl>
    <w:p/>
    <w:p>
      <w:pPr>
        <w:pStyle w:val="Heading2"/>
      </w:pPr>
      <w:r>
        <w:rPr>
          <w:color w:val="1B3A6B"/>
        </w:rPr>
        <w:t>13 · Metrics &amp; Reporting</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Metric</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Reported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Requirements test coverage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Requirements with at least one linked, executed test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100% critical path</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release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 execution progress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Cases executed vs planned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95% at exit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Weekly in test windows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Pass rate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Passed vs executed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98% at system exit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Weekly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Defect escape rate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Defects found post-release vs total found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5%; zero critical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release + monthly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Defect density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Defects per unit of delivered scope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Trend downward release over release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Automation coverage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vs total regression cases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level targets (Section 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IMV turnaround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Submission to sign-off</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5–10 business days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performance vs baseline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Live metrics vs validated baseline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Within tolerance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Continuous, reviewed monthly</w:t>
            </w:r>
          </w:p>
        </w:tc>
      </w:tr>
    </w:tbl>
    <w:p/>
    <w:p>
      <w:r>
        <w:rPr/>
        <w:t xml:space="preserve">Test metrics feed the </w:t>
      </w:r>
      <w:r>
        <w:rPr>
          <w:color w:val="2B5C8A"/>
        </w:rPr>
        <w:t>Program Dashboard</w:t>
      </w:r>
      <w:r>
        <w:rPr/>
        <w:t xml:space="preserve"> and the monthly quality section of Steering Board reporting.</w:t>
      </w:r>
    </w:p>
    <w:p>
      <w:pPr>
        <w:pStyle w:val="Heading2"/>
      </w:pPr>
      <w:r>
        <w:rPr>
          <w:color w:val="1B3A6B"/>
        </w:rPr>
        <w:t>14 · Test Deliverables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Deliverable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Produced by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When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29119 Alignment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Master Test &amp; QA Strategy (this document)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Lead + Program Director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Phase 0; reviewed annually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Organizational test strategy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 plan (per BRD / per release)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Lead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delivery leg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Part 3 test plan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Test cases &amp; test data specifications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&amp; Testing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Design phase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Part 3 / Part 4 techniques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validation report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IMV</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model, pre-production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Program-specific</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Test execution &amp; defect reports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&amp; Testing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Continuous in test windows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Part 3 test results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 summary / exit report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Lead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level exit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Part 3 test completion report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UAT sign-off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Operational Testing Manager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release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Acceptance evidence</w:t>
            </w:r>
          </w:p>
        </w:tc>
      </w:tr>
    </w:tbl>
    <w:p/>
    <w:p>
      <w:pPr>
        <w:pStyle w:val="Heading2"/>
      </w:pPr>
      <w:r>
        <w:rPr>
          <w:color w:val="1B3A6B"/>
        </w:rPr>
        <w:t>15 · Assumptions, Dependencies &amp; Risks to the Test Approach</w:t>
      </w:r>
    </w:p>
    <w:p>
      <w:pPr>
        <w:pStyle w:val="Heading3"/>
      </w:pPr>
      <w:r>
        <w:rPr>
          <w:color w:val="2B5C8A"/>
        </w:rPr>
        <w:t>Assumptions</w:t>
      </w:r>
    </w:p>
    <w:p>
      <w:pPr>
        <w:pStyle w:val="ListBullet"/>
      </w:pPr>
      <w:r>
        <w:rPr/>
        <w:t>Representative, de-identified production-derived data can be made available to test environments within privacy constraints.</w:t>
      </w:r>
    </w:p>
    <w:p>
      <w:pPr>
        <w:pStyle w:val="ListBullet"/>
      </w:pPr>
      <w:r>
        <w:rPr/>
        <w:t>UAT staff are released from operational duties for the agreed cycles — historically the most common cause of UAT slippage on programs of this size.</w:t>
      </w:r>
    </w:p>
    <w:p>
      <w:pPr>
        <w:pStyle w:val="ListBullet"/>
      </w:pPr>
      <w:r>
        <w:rPr/>
        <w:t>Fairness thresholds and model performance targets are agreed with Compliance and Clinical at requirements sign-off, not negotiated at gate time.</w:t>
      </w:r>
    </w:p>
    <w:p>
      <w:pPr>
        <w:pStyle w:val="Heading3"/>
      </w:pPr>
      <w:r>
        <w:rPr>
          <w:color w:val="2B5C8A"/>
        </w:rPr>
        <w:t>Dependencies</w:t>
      </w:r>
    </w:p>
    <w:p>
      <w:pPr>
        <w:pStyle w:val="ListBullet"/>
      </w:pPr>
      <w:r>
        <w:rPr/>
        <w:t xml:space="preserve">Platform and environment availability per the </w:t>
      </w:r>
      <w:r>
        <w:rPr>
          <w:color w:val="2B5C8A"/>
        </w:rPr>
        <w:t>program schedule</w:t>
      </w:r>
      <w:r>
        <w:rPr/>
        <w:t>; environment delay compresses test windows rather than moving gates.</w:t>
      </w:r>
    </w:p>
    <w:p>
      <w:pPr>
        <w:pStyle w:val="ListBullet"/>
      </w:pPr>
      <w:r>
        <w:rPr/>
        <w:t>IMV capacity — the second line is 6 people validating models from three delivery legs; the 5–10 day queue is a planning constraint, not a buffer.</w:t>
      </w:r>
    </w:p>
    <w:p>
      <w:pPr>
        <w:pStyle w:val="ListBullet"/>
      </w:pPr>
      <w:r>
        <w:rPr/>
        <w:t>Legacy data remediation (RSK-01) completing sufficiently to support representative model evaluation.</w:t>
      </w:r>
    </w:p>
    <w:p>
      <w:pPr>
        <w:pStyle w:val="Heading3"/>
      </w:pPr>
      <w:r>
        <w:rPr>
          <w:color w:val="2B5C8A"/>
        </w:rPr>
        <w:t>Risks to the approach</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Risk</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Impact on testing</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Mitigation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Test window compression from upstream delay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Pressure to reduce coverage on the highest-risk scope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Exit criteria are non-negotiable; the release date moves, the criteria do not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IMV becomes a bottleneck in Year 2 (two legs in parallel)</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Production gates queue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Staggered BRD-02/03 validation windows; early submission of model documentation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Insufficient sub-population data for fairness testing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Fairness conclusions unreliable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Coverage verified at dataset governance sign-off, before training</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Automation debt accumulating across three legs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Regression cost grows faster than delivery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Shared framework, automation coverage tracked as a reported metric</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Governing relationship.</w:t>
            </w:r>
            <w:r>
              <w:rPr/>
              <w:t xml:space="preserve"> This strategy is subordinate to the </w:t>
            </w:r>
            <w:r>
              <w:rPr>
                <w:color w:val="2B5C8A"/>
              </w:rPr>
              <w:t>Program Charter</w:t>
            </w:r>
            <w:r>
              <w:rPr/>
              <w:t xml:space="preserve"> and the </w:t>
            </w:r>
            <w:r>
              <w:rPr>
                <w:color w:val="2B5C8A"/>
              </w:rPr>
              <w:t>Program Management Plan</w:t>
            </w:r>
            <w:r>
              <w:rPr/>
              <w:t xml:space="preserve">, and is the parent of every test plan produced under it. Changes to this strategy follow the program's </w:t>
            </w:r>
            <w:r>
              <w:rPr>
                <w:color w:val="2B5C8A"/>
              </w:rPr>
              <w:t>change-control process</w:t>
            </w:r>
            <w:r>
              <w:rPr/>
              <w:t xml:space="preserve"> and require AI Governance Board endorsement, because test standards are a model-risk control.</w:t>
            </w:r>
          </w:p>
        </w:tc>
      </w:tr>
    </w:tbl>
    <w:p/>
    <w:p>
      <w:pPr>
        <w:spacing w:before="280"/>
      </w:pPr>
      <w:r>
        <w:rPr>
          <w:i/>
          <w:color w:val="5B6472"/>
          <w:sz w:val="16"/>
        </w:rPr>
        <w:t>Illustrative program data for a fictional engagement (ACME Highland Health / Pulaski Advisory Group), created to demonstrate program-management practice. Structured in line with the ISO/IEC/IEEE 29119 software testing standard series and the NIST AI Risk Management Framework; test organization figures (QA 18, UAT 11, IMV 6) reconcile to the Resource Plan. Cross-references: Methodology Guide · AI Governance &amp; JAD Charter · RAIDD Log · Program Dashboard.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