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12213B"/>
          <w:sz w:val="32"/>
          <w:szCs w:val="32"/>
        </w:rPr>
        <w:t xml:space="preserve">ATO Package — System Security Plan &amp; POA&amp;M</w:t>
      </w:r>
    </w:p>
    <w:p>
      <w:pPr>
        <w:spacing w:after="300"/>
      </w:pPr>
      <w:r>
        <w:rPr>
          <w:i/>
          <w:iCs/>
          <w:color w:val="5B6472"/>
          <w:sz w:val="20"/>
          <w:szCs w:val="20"/>
        </w:rPr>
        <w:t xml:space="preserve">BenefitConnect Portal Modernization — Security authorization gate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The Authority to Operate (ATO) is the formal security sign-off required before BenefitConnect can go live in production. Owned by T. Abernathy (ISSO), reviewed by M. Whitcombe (COR), and formally granted by the agency's Authorizing Official.</w:t>
      </w:r>
    </w:p>
    <w:p>
      <w:pPr>
        <w:pStyle w:val="Heading2"/>
        <w:spacing w:after="120" w:before="300"/>
      </w:pPr>
      <w:r>
        <w:rPr>
          <w:b/>
          <w:bCs/>
        </w:rPr>
        <w:t xml:space="preserve">System Security Plan (SSP) — Summary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60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3000"/>
          </w:tcPr>
          <w:p>
            <w:r>
              <w:rPr>
                <w:sz w:val="18"/>
                <w:szCs w:val="18"/>
              </w:rPr>
              <w:t xml:space="preserve">System Categorization</w:t>
            </w:r>
          </w:p>
        </w:tc>
        <w:tc>
          <w:tcPr>
            <w:tcW w:type="dxa" w:w="6000"/>
          </w:tcPr>
          <w:p>
            <w:r>
              <w:rPr>
                <w:sz w:val="18"/>
                <w:szCs w:val="18"/>
              </w:rPr>
              <w:t xml:space="preserve">Moderate (FIPS 199) — handles applicant PII but not classified data</w:t>
            </w:r>
          </w:p>
        </w:tc>
      </w:tr>
      <w:tr>
        <w:tc>
          <w:tcPr>
            <w:tcW w:type="dxa" w:w="3000"/>
          </w:tcPr>
          <w:p>
            <w:r>
              <w:rPr>
                <w:sz w:val="18"/>
                <w:szCs w:val="18"/>
              </w:rPr>
              <w:t xml:space="preserve">Security Control Baseline</w:t>
            </w:r>
          </w:p>
        </w:tc>
        <w:tc>
          <w:tcPr>
            <w:tcW w:type="dxa" w:w="6000"/>
          </w:tcPr>
          <w:p>
            <w:r>
              <w:rPr>
                <w:sz w:val="18"/>
                <w:szCs w:val="18"/>
              </w:rPr>
              <w:t xml:space="preserve">NIST SP 800-53 Moderate baseline</w:t>
            </w:r>
          </w:p>
        </w:tc>
      </w:tr>
      <w:tr>
        <w:tc>
          <w:tcPr>
            <w:tcW w:type="dxa" w:w="3000"/>
          </w:tcPr>
          <w:p>
            <w:r>
              <w:rPr>
                <w:sz w:val="18"/>
                <w:szCs w:val="18"/>
              </w:rPr>
              <w:t xml:space="preserve">Assessment Method</w:t>
            </w:r>
          </w:p>
        </w:tc>
        <w:tc>
          <w:tcPr>
            <w:tcW w:type="dxa" w:w="6000"/>
          </w:tcPr>
          <w:p>
            <w:r>
              <w:rPr>
                <w:sz w:val="18"/>
                <w:szCs w:val="18"/>
              </w:rPr>
              <w:t xml:space="preserve">Independent Security Control Assessment (SCA) by third-party assessor</w:t>
            </w:r>
          </w:p>
        </w:tc>
      </w:tr>
      <w:tr>
        <w:tc>
          <w:tcPr>
            <w:tcW w:type="dxa" w:w="3000"/>
          </w:tcPr>
          <w:p>
            <w:r>
              <w:rPr>
                <w:sz w:val="18"/>
                <w:szCs w:val="18"/>
              </w:rPr>
              <w:t xml:space="preserve">Target ATO Date</w:t>
            </w:r>
          </w:p>
        </w:tc>
        <w:tc>
          <w:tcPr>
            <w:tcW w:type="dxa" w:w="6000"/>
          </w:tcPr>
          <w:p>
            <w:r>
              <w:rPr>
                <w:sz w:val="18"/>
                <w:szCs w:val="18"/>
              </w:rPr>
              <w:t xml:space="preserve">Month 7 (Milestone Gate 1)</w:t>
            </w:r>
          </w:p>
        </w:tc>
      </w:tr>
    </w:tbl>
    <w:p>
      <w:pPr>
        <w:pStyle w:val="Heading2"/>
        <w:spacing w:after="120" w:before="300"/>
      </w:pPr>
      <w:r>
        <w:rPr>
          <w:b/>
          <w:bCs/>
        </w:rPr>
        <w:t xml:space="preserve">POA&amp;M — Plan of Action &amp; Milestones (Open Findings)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300"/>
        <w:gridCol w:w="1900"/>
        <w:gridCol w:w="1400"/>
        <w:gridCol w:w="1200"/>
      </w:tblGrid>
      <w:tr>
        <w:tc>
          <w:tcPr>
            <w:tcW w:type="dxa" w:w="32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Finding</w:t>
            </w:r>
          </w:p>
        </w:tc>
        <w:tc>
          <w:tcPr>
            <w:tcW w:type="dxa" w:w="13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Severity</w:t>
            </w:r>
          </w:p>
        </w:tc>
        <w:tc>
          <w:tcPr>
            <w:tcW w:type="dxa" w:w="19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Remediation Owner</w:t>
            </w:r>
          </w:p>
        </w:tc>
        <w:tc>
          <w:tcPr>
            <w:tcW w:type="dxa" w:w="14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Target Close</w:t>
            </w:r>
          </w:p>
        </w:tc>
        <w:tc>
          <w:tcPr>
            <w:tcW w:type="dxa" w:w="12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3200"/>
          </w:tcPr>
          <w:p>
            <w:r>
              <w:rPr>
                <w:sz w:val="18"/>
                <w:szCs w:val="18"/>
              </w:rPr>
              <w:t xml:space="preserve">Session timeout exceeds moderate-baseline threshold</w:t>
            </w:r>
          </w:p>
        </w:tc>
        <w:tc>
          <w:tcPr>
            <w:tcW w:type="dxa" w:w="1300"/>
          </w:tcPr>
          <w:p>
            <w:r>
              <w:rPr>
                <w:sz w:val="18"/>
                <w:szCs w:val="18"/>
              </w:rPr>
              <w:t xml:space="preserve">High</w:t>
            </w:r>
          </w:p>
        </w:tc>
        <w:tc>
          <w:tcPr>
            <w:tcW w:type="dxa" w:w="1900"/>
          </w:tcPr>
          <w:p>
            <w:r>
              <w:rPr>
                <w:sz w:val="18"/>
                <w:szCs w:val="18"/>
              </w:rPr>
              <w:t xml:space="preserve">K. Lindqvist</w:t>
            </w:r>
          </w:p>
        </w:tc>
        <w:tc>
          <w:tcPr>
            <w:tcW w:type="dxa" w:w="1400"/>
          </w:tcPr>
          <w:p>
            <w:r>
              <w:rPr>
                <w:sz w:val="18"/>
                <w:szCs w:val="18"/>
              </w:rPr>
              <w:t xml:space="preserve">Month 6</w:t>
            </w:r>
          </w:p>
        </w:tc>
        <w:tc>
          <w:tcPr>
            <w:tcW w:type="dxa" w:w="1200"/>
          </w:tcPr>
          <w:p>
            <w:r>
              <w:rPr>
                <w:sz w:val="18"/>
                <w:szCs w:val="18"/>
              </w:rPr>
              <w:t xml:space="preserve">Open</w:t>
            </w:r>
          </w:p>
        </w:tc>
      </w:tr>
      <w:tr>
        <w:tc>
          <w:tcPr>
            <w:tcW w:type="dxa" w:w="3200"/>
          </w:tcPr>
          <w:p>
            <w:r>
              <w:rPr>
                <w:sz w:val="18"/>
                <w:szCs w:val="18"/>
              </w:rPr>
              <w:t xml:space="preserve">Audit logging gap on legacy data import path</w:t>
            </w:r>
          </w:p>
        </w:tc>
        <w:tc>
          <w:tcPr>
            <w:tcW w:type="dxa" w:w="1300"/>
          </w:tcPr>
          <w:p>
            <w:r>
              <w:rPr>
                <w:sz w:val="18"/>
                <w:szCs w:val="18"/>
              </w:rPr>
              <w:t xml:space="preserve">Moderate</w:t>
            </w:r>
          </w:p>
        </w:tc>
        <w:tc>
          <w:tcPr>
            <w:tcW w:type="dxa" w:w="1900"/>
          </w:tcPr>
          <w:p>
            <w:r>
              <w:rPr>
                <w:sz w:val="18"/>
                <w:szCs w:val="18"/>
              </w:rPr>
              <w:t xml:space="preserve">K. Lindqvist</w:t>
            </w:r>
          </w:p>
        </w:tc>
        <w:tc>
          <w:tcPr>
            <w:tcW w:type="dxa" w:w="1400"/>
          </w:tcPr>
          <w:p>
            <w:r>
              <w:rPr>
                <w:sz w:val="18"/>
                <w:szCs w:val="18"/>
              </w:rPr>
              <w:t xml:space="preserve">Month 6</w:t>
            </w:r>
          </w:p>
        </w:tc>
        <w:tc>
          <w:tcPr>
            <w:tcW w:type="dxa" w:w="1200"/>
          </w:tcPr>
          <w:p>
            <w:r>
              <w:rPr>
                <w:sz w:val="18"/>
                <w:szCs w:val="18"/>
              </w:rPr>
              <w:t xml:space="preserve">Open</w:t>
            </w:r>
          </w:p>
        </w:tc>
      </w:tr>
      <w:tr>
        <w:tc>
          <w:tcPr>
            <w:tcW w:type="dxa" w:w="3200"/>
          </w:tcPr>
          <w:p>
            <w:r>
              <w:rPr>
                <w:sz w:val="18"/>
                <w:szCs w:val="18"/>
              </w:rPr>
              <w:t xml:space="preserve">MFA not yet enforced for admin console</w:t>
            </w:r>
          </w:p>
        </w:tc>
        <w:tc>
          <w:tcPr>
            <w:tcW w:type="dxa" w:w="1300"/>
          </w:tcPr>
          <w:p>
            <w:r>
              <w:rPr>
                <w:sz w:val="18"/>
                <w:szCs w:val="18"/>
              </w:rPr>
              <w:t xml:space="preserve">High</w:t>
            </w:r>
          </w:p>
        </w:tc>
        <w:tc>
          <w:tcPr>
            <w:tcW w:type="dxa" w:w="1900"/>
          </w:tcPr>
          <w:p>
            <w:r>
              <w:rPr>
                <w:sz w:val="18"/>
                <w:szCs w:val="18"/>
              </w:rPr>
              <w:t xml:space="preserve">T. Abernathy</w:t>
            </w:r>
          </w:p>
        </w:tc>
        <w:tc>
          <w:tcPr>
            <w:tcW w:type="dxa" w:w="1400"/>
          </w:tcPr>
          <w:p>
            <w:r>
              <w:rPr>
                <w:sz w:val="18"/>
                <w:szCs w:val="18"/>
              </w:rPr>
              <w:t xml:space="preserve">Month 5</w:t>
            </w:r>
          </w:p>
        </w:tc>
        <w:tc>
          <w:tcPr>
            <w:tcW w:type="dxa" w:w="1200"/>
          </w:tcPr>
          <w:p>
            <w:r>
              <w:rPr>
                <w:sz w:val="18"/>
                <w:szCs w:val="18"/>
              </w:rPr>
              <w:t xml:space="preserve">Closed</w:t>
            </w:r>
          </w:p>
        </w:tc>
      </w:tr>
    </w:tbl>
    <w:p>
      <w:pPr>
        <w:pStyle w:val="Heading2"/>
        <w:spacing w:after="120" w:before="300"/>
      </w:pPr>
      <w:r>
        <w:rPr>
          <w:b/>
          <w:bCs/>
        </w:rPr>
        <w:t xml:space="preserve">Why This Gate Matters for the Schedule</w:t>
      </w:r>
    </w:p>
    <w:p>
      <w:pPr>
        <w:spacing w:after="120"/>
      </w:pPr>
      <w:r>
        <w:rPr>
          <w:b w:val="false"/>
          <w:bCs w:val="false"/>
          <w:i w:val="false"/>
          <w:iCs w:val="false"/>
        </w:rPr>
        <w:t xml:space="preserve">Every open High-severity POA&amp;M finding is a direct risk to Milestone Gate 1. A federal PM's job here isn't to do the security work itself — it's to actively track POA&amp;M burn-down against the schedule and escalate early if remediation is slipping, since an ATO delay is a hard go-live blocker, not a negotiable one.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2026-07-14T11:45:23.571Z</dcterms:created>
  <dcterms:modified xsi:type="dcterms:W3CDTF">2026-07-14T11:45:23.571Z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