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Benefits Realization Plan</w:t>
      </w:r>
    </w:p>
    <w:p>
      <w:r>
        <w:t>The Cost-Benefit Analysis projects $1,160,000 of annual benefit across seven categories. This plan is what turns that projection into something anyone can later verify or disprove: what each benefit actually means as a number, where its pre-cutover baseline comes from, who measures it, when it first becomes measurable, and how measurement survives the contractor leaving. Status as of 16 Oct 2026 (Month 5 of 18).</w:t>
      </w:r>
    </w:p>
    <w:p>
      <w:pPr>
        <w:pStyle w:val="Heading2"/>
      </w:pPr>
      <w:r>
        <w:t>1. Why a contractor writes this at all</w:t>
      </w:r>
    </w:p>
    <w:p>
      <w:r>
        <w:t>On a Firm-Fixed-Price task order, Acme Federal Systems is paid to deliver accepted CDRL data items. It is not paid for, measured on, or contractually accountable for whether FOPBA's applicants actually complete more applications afterwards. The benefits in the CBA accrue to FOPBA, not to the contractor — which is precisely why they are the most likely thing on this Task Order to go unmeasured.</w:t>
      </w:r>
    </w:p>
    <w:p>
      <w:r>
        <w:t>That gives this document a narrow and honest purpose. It is not a claim that Acme will deliver $1,160,000 of value. It is a handover instrument : it defines the measurements while the contractor still has access to the legacy system, captures the baselines that stop existing at cutover, and transfers a working measurement capability to the Government before the period of performance ends.</w:t>
      </w:r>
    </w:p>
    <w:p>
      <w:pPr>
        <w:pStyle w:val="Heading2"/>
      </w:pPr>
      <w:r>
        <w:t>2. The seven benefits, as measurable statements</w:t>
      </w:r>
    </w:p>
    <w:p>
      <w:r>
        <w:t>Every row below is traced to a line in the Cost-Benefit Analysis ; the dollar values are the CBA's, unchanged. What this document adds is the four columns the CBA does not have — the measure, the baseline source, the named owner on both sides, and the first date the benefit can honestly be reported.</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rPr>
                <w:b/>
              </w:rPr>
              <w:t>ID</w:t>
            </w:r>
          </w:p>
        </w:tc>
        <w:tc>
          <w:tcPr>
            <w:tcW w:type="dxa" w:w="1080"/>
          </w:tcPr>
          <w:p>
            <w:r>
              <w:rPr>
                <w:b/>
              </w:rPr>
              <w:t>Benefit</w:t>
            </w:r>
          </w:p>
        </w:tc>
        <w:tc>
          <w:tcPr>
            <w:tcW w:type="dxa" w:w="1080"/>
          </w:tcPr>
          <w:p>
            <w:r>
              <w:rPr>
                <w:b/>
              </w:rPr>
              <w:t>Annual</w:t>
            </w:r>
          </w:p>
        </w:tc>
        <w:tc>
          <w:tcPr>
            <w:tcW w:type="dxa" w:w="1080"/>
          </w:tcPr>
          <w:p>
            <w:r>
              <w:rPr>
                <w:b/>
              </w:rPr>
              <w:t>Measure</w:t>
            </w:r>
          </w:p>
        </w:tc>
        <w:tc>
          <w:tcPr>
            <w:tcW w:type="dxa" w:w="1080"/>
          </w:tcPr>
          <w:p>
            <w:r>
              <w:rPr>
                <w:b/>
              </w:rPr>
              <w:t>Baseline source</w:t>
            </w:r>
          </w:p>
        </w:tc>
        <w:tc>
          <w:tcPr>
            <w:tcW w:type="dxa" w:w="1080"/>
          </w:tcPr>
          <w:p>
            <w:r>
              <w:rPr>
                <w:b/>
              </w:rPr>
              <w:t>Owner</w:t>
            </w:r>
          </w:p>
        </w:tc>
        <w:tc>
          <w:tcPr>
            <w:tcW w:type="dxa" w:w="1080"/>
          </w:tcPr>
          <w:p>
            <w:r>
              <w:rPr>
                <w:b/>
              </w:rPr>
              <w:t>First measurable</w:t>
            </w:r>
          </w:p>
        </w:tc>
        <w:tc>
          <w:tcPr>
            <w:tcW w:type="dxa" w:w="1080"/>
          </w:tcPr>
          <w:p>
            <w:r>
              <w:rPr>
                <w:b/>
              </w:rPr>
              <w:t>Confidence</w:t>
            </w:r>
          </w:p>
        </w:tc>
      </w:tr>
      <w:tr>
        <w:tc>
          <w:tcPr>
            <w:tcW w:type="dxa" w:w="1080"/>
          </w:tcPr>
          <w:p>
            <w:r>
              <w:t>BEN-01</w:t>
            </w:r>
          </w:p>
        </w:tc>
        <w:tc>
          <w:tcPr>
            <w:tcW w:type="dxa" w:w="1080"/>
          </w:tcPr>
          <w:p>
            <w:r>
              <w:t>Legacy platform license/maintenance elimination Vendor contract sunset upon cutover</w:t>
            </w:r>
          </w:p>
        </w:tc>
        <w:tc>
          <w:tcPr>
            <w:tcW w:type="dxa" w:w="1080"/>
          </w:tcPr>
          <w:p>
            <w:r>
              <w:t>$310,000</w:t>
            </w:r>
          </w:p>
        </w:tc>
        <w:tc>
          <w:tcPr>
            <w:tcW w:type="dxa" w:w="1080"/>
          </w:tcPr>
          <w:p>
            <w:r>
              <w:t>Annual vendor invoice value for the legacy platform, confirmed terminated</w:t>
            </w:r>
          </w:p>
        </w:tc>
        <w:tc>
          <w:tcPr>
            <w:tcW w:type="dxa" w:w="1080"/>
          </w:tcPr>
          <w:p>
            <w:r>
              <w:t>Current legacy vendor contract — FOPBA Contracting holds the invoice history</w:t>
            </w:r>
          </w:p>
        </w:tc>
        <w:tc>
          <w:tcPr>
            <w:tcW w:type="dxa" w:w="1080"/>
          </w:tcPr>
          <w:p>
            <w:r>
              <w:t>D. Ferris Gov: A. Reyes (CO)</w:t>
            </w:r>
          </w:p>
        </w:tc>
        <w:tc>
          <w:tcPr>
            <w:tcW w:type="dxa" w:w="1080"/>
          </w:tcPr>
          <w:p>
            <w:r>
              <w:t>Feb 2027</w:t>
            </w:r>
          </w:p>
        </w:tc>
        <w:tc>
          <w:tcPr>
            <w:tcW w:type="dxa" w:w="1080"/>
          </w:tcPr>
          <w:p>
            <w:r>
              <w:t>High</w:t>
            </w:r>
          </w:p>
        </w:tc>
      </w:tr>
      <w:tr>
        <w:tc>
          <w:tcPr>
            <w:tcW w:type="dxa" w:w="1080"/>
          </w:tcPr>
          <w:p>
            <w:r>
              <w:t>BEN-02</w:t>
            </w:r>
          </w:p>
        </w:tc>
        <w:tc>
          <w:tcPr>
            <w:tcW w:type="dxa" w:w="1080"/>
          </w:tcPr>
          <w:p>
            <w:r>
              <w:t>Reduced manual/phone-assisted applications Improved self-service completion rate</w:t>
            </w:r>
          </w:p>
        </w:tc>
        <w:tc>
          <w:tcPr>
            <w:tcW w:type="dxa" w:w="1080"/>
          </w:tcPr>
          <w:p>
            <w:r>
              <w:t>$180,000</w:t>
            </w:r>
          </w:p>
        </w:tc>
        <w:tc>
          <w:tcPr>
            <w:tcW w:type="dxa" w:w="1080"/>
          </w:tcPr>
          <w:p>
            <w:r>
              <w:t>Share of applications completed end-to-end without caseworker or call-centre assistance</w:t>
            </w:r>
          </w:p>
        </w:tc>
        <w:tc>
          <w:tcPr>
            <w:tcW w:type="dxa" w:w="1080"/>
          </w:tcPr>
          <w:p>
            <w:r>
              <w:t>Legacy portal completion telemetry + FOPBA call-centre assisted-application counts, 90 days pre-cutover</w:t>
            </w:r>
          </w:p>
        </w:tc>
        <w:tc>
          <w:tcPr>
            <w:tcW w:type="dxa" w:w="1080"/>
          </w:tcPr>
          <w:p>
            <w:r>
              <w:t>J. Okonkwo Gov: M. Whitcombe (COR)</w:t>
            </w:r>
          </w:p>
        </w:tc>
        <w:tc>
          <w:tcPr>
            <w:tcW w:type="dxa" w:w="1080"/>
          </w:tcPr>
          <w:p>
            <w:r>
              <w:t>Apr 2027</w:t>
            </w:r>
          </w:p>
        </w:tc>
        <w:tc>
          <w:tcPr>
            <w:tcW w:type="dxa" w:w="1080"/>
          </w:tcPr>
          <w:p>
            <w:r>
              <w:t>Medium</w:t>
            </w:r>
          </w:p>
        </w:tc>
      </w:tr>
      <w:tr>
        <w:tc>
          <w:tcPr>
            <w:tcW w:type="dxa" w:w="1080"/>
          </w:tcPr>
          <w:p>
            <w:r>
              <w:t>BEN-03</w:t>
            </w:r>
          </w:p>
        </w:tc>
        <w:tc>
          <w:tcPr>
            <w:tcW w:type="dxa" w:w="1080"/>
          </w:tcPr>
          <w:p>
            <w:r>
              <w:t>Avoided accessibility non-compliance risk Estimated remediation-under-pressure cost avoided</w:t>
            </w:r>
          </w:p>
        </w:tc>
        <w:tc>
          <w:tcPr>
            <w:tcW w:type="dxa" w:w="1080"/>
          </w:tcPr>
          <w:p>
            <w:r>
              <w:t>$120,000</w:t>
            </w:r>
          </w:p>
        </w:tc>
        <w:tc>
          <w:tcPr>
            <w:tcW w:type="dxa" w:w="1080"/>
          </w:tcPr>
          <w:p>
            <w:r>
              <w:t>Section 508 conformance level sustained at WCAG 2.1 AA with zero unremediated Level A/AA failures, per CDRL A006</w:t>
            </w:r>
          </w:p>
        </w:tc>
        <w:tc>
          <w:tcPr>
            <w:tcW w:type="dxa" w:w="1080"/>
          </w:tcPr>
          <w:p>
            <w:r>
              <w:t>The independent auditor’s interim conformance baseline (20 Aug 2026) and the A006 report at 14 Nov 2026</w:t>
            </w:r>
          </w:p>
        </w:tc>
        <w:tc>
          <w:tcPr>
            <w:tcW w:type="dxa" w:w="1080"/>
          </w:tcPr>
          <w:p>
            <w:r>
              <w:t>P. Duvall Gov: M. Whitcombe (COR)</w:t>
            </w:r>
          </w:p>
        </w:tc>
        <w:tc>
          <w:tcPr>
            <w:tcW w:type="dxa" w:w="1080"/>
          </w:tcPr>
          <w:p>
            <w:r>
              <w:t>Jan 2027</w:t>
            </w:r>
          </w:p>
        </w:tc>
        <w:tc>
          <w:tcPr>
            <w:tcW w:type="dxa" w:w="1080"/>
          </w:tcPr>
          <w:p>
            <w:r>
              <w:t>Low</w:t>
            </w:r>
          </w:p>
        </w:tc>
      </w:tr>
      <w:tr>
        <w:tc>
          <w:tcPr>
            <w:tcW w:type="dxa" w:w="1080"/>
          </w:tcPr>
          <w:p>
            <w:r>
              <w:t>BEN-04</w:t>
            </w:r>
          </w:p>
        </w:tc>
        <w:tc>
          <w:tcPr>
            <w:tcW w:type="dxa" w:w="1080"/>
          </w:tcPr>
          <w:p>
            <w:r>
              <w:t>Reduced help desk ticket volume Improved UX reduces support burden</w:t>
            </w:r>
          </w:p>
        </w:tc>
        <w:tc>
          <w:tcPr>
            <w:tcW w:type="dxa" w:w="1080"/>
          </w:tcPr>
          <w:p>
            <w:r>
              <w:t>$80,000</w:t>
            </w:r>
          </w:p>
        </w:tc>
        <w:tc>
          <w:tcPr>
            <w:tcW w:type="dxa" w:w="1080"/>
          </w:tcPr>
          <w:p>
            <w:r>
              <w:t>Monthly portal-related help desk tickets per 1,000 submitted applications</w:t>
            </w:r>
          </w:p>
        </w:tc>
        <w:tc>
          <w:tcPr>
            <w:tcW w:type="dxa" w:w="1080"/>
          </w:tcPr>
          <w:p>
            <w:r>
              <w:t>FOPBA service desk ticket history, 90 days pre-cutover, filtered to portal categories</w:t>
            </w:r>
          </w:p>
        </w:tc>
        <w:tc>
          <w:tcPr>
            <w:tcW w:type="dxa" w:w="1080"/>
          </w:tcPr>
          <w:p>
            <w:r>
              <w:t>D. Ferris Gov: M. Whitcombe (COR)</w:t>
            </w:r>
          </w:p>
        </w:tc>
        <w:tc>
          <w:tcPr>
            <w:tcW w:type="dxa" w:w="1080"/>
          </w:tcPr>
          <w:p>
            <w:r>
              <w:t>Apr 2027</w:t>
            </w:r>
          </w:p>
        </w:tc>
        <w:tc>
          <w:tcPr>
            <w:tcW w:type="dxa" w:w="1080"/>
          </w:tcPr>
          <w:p>
            <w:r>
              <w:t>Medium</w:t>
            </w:r>
          </w:p>
        </w:tc>
      </w:tr>
      <w:tr>
        <w:tc>
          <w:tcPr>
            <w:tcW w:type="dxa" w:w="1080"/>
          </w:tcPr>
          <w:p>
            <w:r>
              <w:t>BEN-05 P00011</w:t>
            </w:r>
          </w:p>
        </w:tc>
        <w:tc>
          <w:tcPr>
            <w:tcW w:type="dxa" w:w="1080"/>
          </w:tcPr>
          <w:p>
            <w:r>
              <w:t>Increased mobile self-service completion Mobile-responsive redesign — original portal was desktop-only</w:t>
            </w:r>
          </w:p>
        </w:tc>
        <w:tc>
          <w:tcPr>
            <w:tcW w:type="dxa" w:w="1080"/>
          </w:tcPr>
          <w:p>
            <w:r>
              <w:t>$140,000</w:t>
            </w:r>
          </w:p>
        </w:tc>
        <w:tc>
          <w:tcPr>
            <w:tcW w:type="dxa" w:w="1080"/>
          </w:tcPr>
          <w:p>
            <w:r>
              <w:t>Application completion rate on mobile viewports, versus the same measure pre-cutover</w:t>
            </w:r>
          </w:p>
        </w:tc>
        <w:tc>
          <w:tcPr>
            <w:tcW w:type="dxa" w:w="1080"/>
          </w:tcPr>
          <w:p>
            <w:r>
              <w:t>Legacy portal analytics segmented by device class, 90 days pre-cutover</w:t>
            </w:r>
          </w:p>
        </w:tc>
        <w:tc>
          <w:tcPr>
            <w:tcW w:type="dxa" w:w="1080"/>
          </w:tcPr>
          <w:p>
            <w:r>
              <w:t>K. Marchetti Gov: M. Whitcombe (COR)</w:t>
            </w:r>
          </w:p>
        </w:tc>
        <w:tc>
          <w:tcPr>
            <w:tcW w:type="dxa" w:w="1080"/>
          </w:tcPr>
          <w:p>
            <w:r>
              <w:t>Apr 2027</w:t>
            </w:r>
          </w:p>
        </w:tc>
        <w:tc>
          <w:tcPr>
            <w:tcW w:type="dxa" w:w="1080"/>
          </w:tcPr>
          <w:p>
            <w:r>
              <w:t>Medium</w:t>
            </w:r>
          </w:p>
        </w:tc>
      </w:tr>
      <w:tr>
        <w:tc>
          <w:tcPr>
            <w:tcW w:type="dxa" w:w="1080"/>
          </w:tcPr>
          <w:p>
            <w:r>
              <w:t>BEN-06 P00011</w:t>
            </w:r>
          </w:p>
        </w:tc>
        <w:tc>
          <w:tcPr>
            <w:tcW w:type="dxa" w:w="1080"/>
          </w:tcPr>
          <w:p>
            <w:r>
              <w:t>Caseworker time savings Real-time Eligibility API replaces manual phone verification</w:t>
            </w:r>
          </w:p>
        </w:tc>
        <w:tc>
          <w:tcPr>
            <w:tcW w:type="dxa" w:w="1080"/>
          </w:tcPr>
          <w:p>
            <w:r>
              <w:t>$260,000</w:t>
            </w:r>
          </w:p>
        </w:tc>
        <w:tc>
          <w:tcPr>
            <w:tcW w:type="dxa" w:w="1080"/>
          </w:tcPr>
          <w:p>
            <w:r>
              <w:t>Median caseworker handling time for an eligibility verification, and count of manual phone verifications performed</w:t>
            </w:r>
          </w:p>
        </w:tc>
        <w:tc>
          <w:tcPr>
            <w:tcW w:type="dxa" w:w="1080"/>
          </w:tcPr>
          <w:p>
            <w:r>
              <w:t>Time-and-motion sample across a full caseworker shift plus the manual verification log, captured pre-cutover</w:t>
            </w:r>
          </w:p>
        </w:tc>
        <w:tc>
          <w:tcPr>
            <w:tcW w:type="dxa" w:w="1080"/>
          </w:tcPr>
          <w:p>
            <w:r>
              <w:t>R. Fontenot Gov: R. Osei (Sponsor)</w:t>
            </w:r>
          </w:p>
        </w:tc>
        <w:tc>
          <w:tcPr>
            <w:tcW w:type="dxa" w:w="1080"/>
          </w:tcPr>
          <w:p>
            <w:r>
              <w:t>Apr 2027</w:t>
            </w:r>
          </w:p>
        </w:tc>
        <w:tc>
          <w:tcPr>
            <w:tcW w:type="dxa" w:w="1080"/>
          </w:tcPr>
          <w:p>
            <w:r>
              <w:t>Medium</w:t>
            </w:r>
          </w:p>
        </w:tc>
      </w:tr>
      <w:tr>
        <w:tc>
          <w:tcPr>
            <w:tcW w:type="dxa" w:w="1080"/>
          </w:tcPr>
          <w:p>
            <w:r>
              <w:t>BEN-07 P00011</w:t>
            </w:r>
          </w:p>
        </w:tc>
        <w:tc>
          <w:tcPr>
            <w:tcW w:type="dxa" w:w="1080"/>
          </w:tcPr>
          <w:p>
            <w:r>
              <w:t>Avoided mobile-specific accessibility risk Closes the mobile accessibility gap the original scope left open</w:t>
            </w:r>
          </w:p>
        </w:tc>
        <w:tc>
          <w:tcPr>
            <w:tcW w:type="dxa" w:w="1080"/>
          </w:tcPr>
          <w:p>
            <w:r>
              <w:t>$70,000</w:t>
            </w:r>
          </w:p>
        </w:tc>
        <w:tc>
          <w:tcPr>
            <w:tcW w:type="dxa" w:w="1080"/>
          </w:tcPr>
          <w:p>
            <w:r>
              <w:t>Mobile Section 508 conformance sustained at WCAG 2.1 AA across the supported device matrix</w:t>
            </w:r>
          </w:p>
        </w:tc>
        <w:tc>
          <w:tcPr>
            <w:tcW w:type="dxa" w:w="1080"/>
          </w:tcPr>
          <w:p>
            <w:r>
              <w:t>Mobile conformance results within CDRL A006</w:t>
            </w:r>
          </w:p>
        </w:tc>
        <w:tc>
          <w:tcPr>
            <w:tcW w:type="dxa" w:w="1080"/>
          </w:tcPr>
          <w:p>
            <w:r>
              <w:t>P. Duvall Gov: M. Whitcombe (COR)</w:t>
            </w:r>
          </w:p>
        </w:tc>
        <w:tc>
          <w:tcPr>
            <w:tcW w:type="dxa" w:w="1080"/>
          </w:tcPr>
          <w:p>
            <w:r>
              <w:t>Jan 2027</w:t>
            </w:r>
          </w:p>
        </w:tc>
        <w:tc>
          <w:tcPr>
            <w:tcW w:type="dxa" w:w="1080"/>
          </w:tcPr>
          <w:p>
            <w:r>
              <w:t>Low</w:t>
            </w:r>
          </w:p>
        </w:tc>
      </w:tr>
      <w:tr>
        <w:tc>
          <w:tcPr>
            <w:tcW w:type="dxa" w:w="1080"/>
          </w:tcPr>
          <w:p>
            <w:r>
              <w:t>TOTAL</w:t>
            </w:r>
          </w:p>
        </w:tc>
        <w:tc>
          <w:tcPr>
            <w:tcW w:type="dxa" w:w="1080"/>
          </w:tcPr>
          <w:p>
            <w:r>
              <w:t>Seven quantified benefit categories</w:t>
            </w:r>
          </w:p>
        </w:tc>
        <w:tc>
          <w:tcPr>
            <w:tcW w:type="dxa" w:w="1080"/>
          </w:tcPr>
          <w:p>
            <w:r>
              <w:t>$1,160,000</w:t>
            </w:r>
          </w:p>
        </w:tc>
        <w:tc>
          <w:tcPr>
            <w:tcW w:type="dxa" w:w="1080"/>
          </w:tcPr>
          <w:p>
            <w:r>
              <w:t>Matches the Cost-Benefit Analysis exactly. The three P00011 rows exist because the scope grew, not because the original four were revalued.</w:t>
            </w:r>
          </w:p>
        </w:tc>
        <w:tc>
          <w:tcPr>
            <w:tcW w:type="dxa" w:w="1080"/>
          </w:tcPr>
          <w:p/>
        </w:tc>
        <w:tc>
          <w:tcPr>
            <w:tcW w:type="dxa" w:w="1080"/>
          </w:tcPr>
          <w:p/>
        </w:tc>
        <w:tc>
          <w:tcPr>
            <w:tcW w:type="dxa" w:w="1080"/>
          </w:tcPr>
          <w:p/>
        </w:tc>
        <w:tc>
          <w:tcPr>
            <w:tcW w:type="dxa" w:w="1080"/>
          </w:tcPr>
          <w:p/>
        </w:tc>
      </w:tr>
    </w:tbl>
    <w:p/>
    <w:p>
      <w:r>
        <w:t>Confidence reflects how well the benefit can be evidenced , not how likely it is to occur. A cost avoidance can be entirely real and still be Low confidence, because absence of a cost leaves no record.</w:t>
      </w:r>
    </w:p>
    <w:p>
      <w:pPr>
        <w:pStyle w:val="Heading2"/>
      </w:pPr>
      <w:r>
        <w:t>3. What is actually difficult about each one</w:t>
      </w:r>
    </w:p>
    <w:p>
      <w:r>
        <w:t>Benefit registers usually fail by treating every line as equally measurable. These are not.</w:t>
      </w:r>
    </w:p>
    <w:p>
      <w:pPr>
        <w:pStyle w:val="Heading4"/>
      </w:pPr>
      <w:r>
        <w:t>Legacy platform license/maintenance elimination</w:t>
      </w:r>
    </w:p>
    <w:p>
      <w:r>
        <w:t>The only benefit here that is essentially certain on the day of cutover: the invoice either stops or it does not. It requires no measurement instrument, only confirmation that the legacy contract was actually terminated rather than left running in parallel.</w:t>
      </w:r>
    </w:p>
    <w:p>
      <w:pPr>
        <w:pStyle w:val="Heading4"/>
      </w:pPr>
      <w:r>
        <w:t>Reduced manual/phone-assisted applications</w:t>
      </w:r>
    </w:p>
    <w:p>
      <w:r>
        <w:t>Needs a genuine pre-cutover baseline. The legacy portal does not report this directly, so the baseline must be assembled from two systems before the legacy one is decommissioned.</w:t>
      </w:r>
    </w:p>
    <w:p>
      <w:pPr>
        <w:pStyle w:val="Heading4"/>
      </w:pPr>
      <w:r>
        <w:t>Avoided accessibility non-compliance risk</w:t>
      </w:r>
    </w:p>
    <w:p>
      <w:r>
        <w:t>This is a cost *avoidance*, not a cost reduction — nothing shows up in a budget line when it works. It is measured by the absence of remediation-under-pressure, which means the honest evidence is the A006 conformance record plus the complaint log, not a dollar figure.</w:t>
      </w:r>
    </w:p>
    <w:p>
      <w:pPr>
        <w:pStyle w:val="Heading4"/>
      </w:pPr>
      <w:r>
        <w:t>Reduced help desk ticket volume</w:t>
      </w:r>
    </w:p>
    <w:p>
      <w:r>
        <w:t>Expect this to get WORSE for roughly 60 days after cutover before it improves. A measurement window that starts at go-live will report a false negative; the plan therefore excludes the first 60 days from the comparison and says so up front rather than discovering it later.</w:t>
      </w:r>
    </w:p>
    <w:p>
      <w:pPr>
        <w:pStyle w:val="Heading4"/>
      </w:pPr>
      <w:r>
        <w:t>Increased mobile self-service completion</w:t>
      </w:r>
    </w:p>
    <w:p>
      <w:r>
        <w:t>The pre-cutover baseline here is near-zero by construction — the legacy portal was desktop-only. That makes the improvement easy to show and easy to overstate; the meaningful measure is completion RATE on mobile, not mobile traffic volume.</w:t>
      </w:r>
    </w:p>
    <w:p>
      <w:pPr>
        <w:pStyle w:val="Heading4"/>
      </w:pPr>
      <w:r>
        <w:t>Caseworker time savings</w:t>
      </w:r>
    </w:p>
    <w:p>
      <w:r>
        <w:t>The largest single benefit at $260,000 and the one with the weakest existing baseline — no system records caseworker handling time today. If the time-and-motion sample is not taken before cutover, this benefit becomes unprovable no matter how real it is.</w:t>
      </w:r>
    </w:p>
    <w:p>
      <w:pPr>
        <w:pStyle w:val="Heading4"/>
      </w:pPr>
      <w:r>
        <w:t>Avoided mobile-specific accessibility risk</w:t>
      </w:r>
    </w:p>
    <w:p>
      <w:r>
        <w:t>Same avoidance logic as the desktop accessibility benefit, scoped to the mobile experience P00011 added. Reported alongside it rather than separately, since one audit covers both.</w:t>
      </w:r>
    </w:p>
    <w:p>
      <w:pPr>
        <w:pStyle w:val="Heading2"/>
      </w:pPr>
      <w:r>
        <w:t>4. The baseline capture window closes at cutover</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Baseline activity</w:t>
            </w:r>
          </w:p>
        </w:tc>
        <w:tc>
          <w:tcPr>
            <w:tcW w:type="dxa" w:w="2160"/>
          </w:tcPr>
          <w:p>
            <w:r>
              <w:rPr>
                <w:b/>
              </w:rPr>
              <w:t>Owner</w:t>
            </w:r>
          </w:p>
        </w:tc>
        <w:tc>
          <w:tcPr>
            <w:tcW w:type="dxa" w:w="2160"/>
          </w:tcPr>
          <w:p>
            <w:r>
              <w:rPr>
                <w:b/>
              </w:rPr>
              <w:t>Window</w:t>
            </w:r>
          </w:p>
        </w:tc>
        <w:tc>
          <w:tcPr>
            <w:tcW w:type="dxa" w:w="2160"/>
          </w:tcPr>
          <w:p>
            <w:r>
              <w:rPr>
                <w:b/>
              </w:rPr>
              <w:t>Status at 16 Oct 2026</w:t>
            </w:r>
          </w:p>
        </w:tc>
      </w:tr>
      <w:tr>
        <w:tc>
          <w:tcPr>
            <w:tcW w:type="dxa" w:w="2160"/>
          </w:tcPr>
          <w:p>
            <w:r>
              <w:t>Legacy portal completion + device-class analytics extract (90-day sample)</w:t>
            </w:r>
          </w:p>
        </w:tc>
        <w:tc>
          <w:tcPr>
            <w:tcW w:type="dxa" w:w="2160"/>
          </w:tcPr>
          <w:p>
            <w:r>
              <w:t>J. Okonkwo</w:t>
            </w:r>
          </w:p>
        </w:tc>
        <w:tc>
          <w:tcPr>
            <w:tcW w:type="dxa" w:w="2160"/>
          </w:tcPr>
          <w:p>
            <w:r>
              <w:t>Oct–Dec 2026</w:t>
            </w:r>
          </w:p>
        </w:tc>
        <w:tc>
          <w:tcPr>
            <w:tcW w:type="dxa" w:w="2160"/>
          </w:tcPr>
          <w:p>
            <w:r>
              <w:t>Not started — opens this month</w:t>
            </w:r>
          </w:p>
        </w:tc>
      </w:tr>
      <w:tr>
        <w:tc>
          <w:tcPr>
            <w:tcW w:type="dxa" w:w="2160"/>
          </w:tcPr>
          <w:p>
            <w:r>
              <w:t>FOPBA service desk ticket history, filtered to portal categories</w:t>
            </w:r>
          </w:p>
        </w:tc>
        <w:tc>
          <w:tcPr>
            <w:tcW w:type="dxa" w:w="2160"/>
          </w:tcPr>
          <w:p>
            <w:r>
              <w:t>D. Ferris</w:t>
            </w:r>
          </w:p>
        </w:tc>
        <w:tc>
          <w:tcPr>
            <w:tcW w:type="dxa" w:w="2160"/>
          </w:tcPr>
          <w:p>
            <w:r>
              <w:t>Oct–Dec 2026</w:t>
            </w:r>
          </w:p>
        </w:tc>
        <w:tc>
          <w:tcPr>
            <w:tcW w:type="dxa" w:w="2160"/>
          </w:tcPr>
          <w:p>
            <w:r>
              <w:t>Not started — requires COR to release service desk data</w:t>
            </w:r>
          </w:p>
        </w:tc>
      </w:tr>
      <w:tr>
        <w:tc>
          <w:tcPr>
            <w:tcW w:type="dxa" w:w="2160"/>
          </w:tcPr>
          <w:p>
            <w:r>
              <w:t>Caseworker time-and-motion sample + manual verification log</w:t>
            </w:r>
          </w:p>
        </w:tc>
        <w:tc>
          <w:tcPr>
            <w:tcW w:type="dxa" w:w="2160"/>
          </w:tcPr>
          <w:p>
            <w:r>
              <w:t>R. Fontenot</w:t>
            </w:r>
          </w:p>
        </w:tc>
        <w:tc>
          <w:tcPr>
            <w:tcW w:type="dxa" w:w="2160"/>
          </w:tcPr>
          <w:p>
            <w:r>
              <w:t>Nov 2026</w:t>
            </w:r>
          </w:p>
        </w:tc>
        <w:tc>
          <w:tcPr>
            <w:tcW w:type="dxa" w:w="2160"/>
          </w:tcPr>
          <w:p>
            <w:r>
              <w:t>Not started — needs FOPBA operational scheduling</w:t>
            </w:r>
          </w:p>
        </w:tc>
      </w:tr>
      <w:tr>
        <w:tc>
          <w:tcPr>
            <w:tcW w:type="dxa" w:w="2160"/>
          </w:tcPr>
          <w:p>
            <w:r>
              <w:t>Legacy vendor contract value and termination confirmation</w:t>
            </w:r>
          </w:p>
        </w:tc>
        <w:tc>
          <w:tcPr>
            <w:tcW w:type="dxa" w:w="2160"/>
          </w:tcPr>
          <w:p>
            <w:r>
              <w:t>D. Ferris</w:t>
            </w:r>
          </w:p>
        </w:tc>
        <w:tc>
          <w:tcPr>
            <w:tcW w:type="dxa" w:w="2160"/>
          </w:tcPr>
          <w:p>
            <w:r>
              <w:t>Dec 2026</w:t>
            </w:r>
          </w:p>
        </w:tc>
        <w:tc>
          <w:tcPr>
            <w:tcW w:type="dxa" w:w="2160"/>
          </w:tcPr>
          <w:p>
            <w:r>
              <w:t>Not started — CO action</w:t>
            </w:r>
          </w:p>
        </w:tc>
      </w:tr>
      <w:tr>
        <w:tc>
          <w:tcPr>
            <w:tcW w:type="dxa" w:w="2160"/>
          </w:tcPr>
          <w:p>
            <w:r>
              <w:t>Section 508 conformance baseline</w:t>
            </w:r>
          </w:p>
        </w:tc>
        <w:tc>
          <w:tcPr>
            <w:tcW w:type="dxa" w:w="2160"/>
          </w:tcPr>
          <w:p>
            <w:r>
              <w:t>P. Duvall</w:t>
            </w:r>
          </w:p>
        </w:tc>
        <w:tc>
          <w:tcPr>
            <w:tcW w:type="dxa" w:w="2160"/>
          </w:tcPr>
          <w:p>
            <w:r>
              <w:t>Complete</w:t>
            </w:r>
          </w:p>
        </w:tc>
        <w:tc>
          <w:tcPr>
            <w:tcW w:type="dxa" w:w="2160"/>
          </w:tcPr>
          <w:p>
            <w:r>
              <w:t>Interim baseline captured 20 Aug 2026; CDRL A006 due 14 Nov 2026</w:t>
            </w:r>
          </w:p>
        </w:tc>
      </w:tr>
    </w:tbl>
    <w:p/>
    <w:p>
      <w:r>
        <w:t>Only one of the five is complete. The other four depend on FOPBA releasing operational data or scheduling access, which is a Government action the contractor can request but not perform. That dependency is the single largest risk to this plan and is why it is written now, at Month 5, rather than at closeout when it would be a description of a missed opportunity.</w:t>
      </w:r>
    </w:p>
    <w:p>
      <w:pPr>
        <w:pStyle w:val="Heading2"/>
      </w:pPr>
      <w:r>
        <w:t>5. Measurement calendar</w:t>
      </w:r>
    </w:p>
    <w:p>
      <w:r>
        <w:t>Anchored to the Task Order's real dates. Note that the measurement period deliberately excludes the first 60 days after go-live: cutover degrades several of these measures before it improves them, and a window that starts at go-live reports that degradation as the result.</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Date</w:t>
            </w:r>
          </w:p>
        </w:tc>
        <w:tc>
          <w:tcPr>
            <w:tcW w:type="dxa" w:w="2880"/>
          </w:tcPr>
          <w:p>
            <w:r>
              <w:rPr>
                <w:b/>
              </w:rPr>
              <w:t>Event</w:t>
            </w:r>
          </w:p>
        </w:tc>
        <w:tc>
          <w:tcPr>
            <w:tcW w:type="dxa" w:w="2880"/>
          </w:tcPr>
          <w:p>
            <w:r>
              <w:rPr>
                <w:b/>
              </w:rPr>
              <w:t>What happens to benefits measurement</w:t>
            </w:r>
          </w:p>
        </w:tc>
      </w:tr>
      <w:tr>
        <w:tc>
          <w:tcPr>
            <w:tcW w:type="dxa" w:w="2880"/>
          </w:tcPr>
          <w:p>
            <w:r>
              <w:t>Oct–Dec 2026</w:t>
            </w:r>
          </w:p>
        </w:tc>
        <w:tc>
          <w:tcPr>
            <w:tcW w:type="dxa" w:w="2880"/>
          </w:tcPr>
          <w:p>
            <w:r>
              <w:t>Baseline capture window</w:t>
            </w:r>
          </w:p>
        </w:tc>
        <w:tc>
          <w:tcPr>
            <w:tcW w:type="dxa" w:w="2880"/>
          </w:tcPr>
          <w:p>
            <w:r>
              <w:t>All pre-cutover baselines taken. Nothing here is recoverable later.</w:t>
            </w:r>
          </w:p>
        </w:tc>
      </w:tr>
      <w:tr>
        <w:tc>
          <w:tcPr>
            <w:tcW w:type="dxa" w:w="2880"/>
          </w:tcPr>
          <w:p>
            <w:r>
              <w:t>14 Dec 2026</w:t>
            </w:r>
          </w:p>
        </w:tc>
        <w:tc>
          <w:tcPr>
            <w:tcW w:type="dxa" w:w="2880"/>
          </w:tcPr>
          <w:p>
            <w:r>
              <w:t>Milestone Gate 1 — ATO</w:t>
            </w:r>
          </w:p>
        </w:tc>
        <w:tc>
          <w:tcPr>
            <w:tcW w:type="dxa" w:w="2880"/>
          </w:tcPr>
          <w:p>
            <w:r>
              <w:t>No benefit effect, but a gate failure moves go-live and therefore every date below.</w:t>
            </w:r>
          </w:p>
        </w:tc>
      </w:tr>
      <w:tr>
        <w:tc>
          <w:tcPr>
            <w:tcW w:type="dxa" w:w="2880"/>
          </w:tcPr>
          <w:p>
            <w:r>
              <w:t>13 Jan 2027</w:t>
            </w:r>
          </w:p>
        </w:tc>
        <w:tc>
          <w:tcPr>
            <w:tcW w:type="dxa" w:w="2880"/>
          </w:tcPr>
          <w:p>
            <w:r>
              <w:t>Production go-live</w:t>
            </w:r>
          </w:p>
        </w:tc>
        <w:tc>
          <w:tcPr>
            <w:tcW w:type="dxa" w:w="2880"/>
          </w:tcPr>
          <w:p>
            <w:r>
              <w:t>Benefit period begins. Legacy platform contract terminates — BEN-01 becomes confirmable.</w:t>
            </w:r>
          </w:p>
        </w:tc>
      </w:tr>
      <w:tr>
        <w:tc>
          <w:tcPr>
            <w:tcW w:type="dxa" w:w="2880"/>
          </w:tcPr>
          <w:p>
            <w:r>
              <w:t>14 Mar 2027</w:t>
            </w:r>
          </w:p>
        </w:tc>
        <w:tc>
          <w:tcPr>
            <w:tcW w:type="dxa" w:w="2880"/>
          </w:tcPr>
          <w:p>
            <w:r>
              <w:t>Go-live + 60 days</w:t>
            </w:r>
          </w:p>
        </w:tc>
        <w:tc>
          <w:tcPr>
            <w:tcW w:type="dxa" w:w="2880"/>
          </w:tcPr>
          <w:p>
            <w:r>
              <w:t>Stabilisation excluded. Measurement window opens for the behavioural benefits.</w:t>
            </w:r>
          </w:p>
        </w:tc>
      </w:tr>
      <w:tr>
        <w:tc>
          <w:tcPr>
            <w:tcW w:type="dxa" w:w="2880"/>
          </w:tcPr>
          <w:p>
            <w:r>
              <w:t>Apr 2027</w:t>
            </w:r>
          </w:p>
        </w:tc>
        <w:tc>
          <w:tcPr>
            <w:tcW w:type="dxa" w:w="2880"/>
          </w:tcPr>
          <w:p>
            <w:r>
              <w:t>First quarterly benefit report</w:t>
            </w:r>
          </w:p>
        </w:tc>
        <w:tc>
          <w:tcPr>
            <w:tcW w:type="dxa" w:w="2880"/>
          </w:tcPr>
          <w:p>
            <w:r>
              <w:t>First honest read on BEN-02, 04, 05, 06. Reported through CDRL A008.</w:t>
            </w:r>
          </w:p>
        </w:tc>
      </w:tr>
      <w:tr>
        <w:tc>
          <w:tcPr>
            <w:tcW w:type="dxa" w:w="2880"/>
          </w:tcPr>
          <w:p>
            <w:r>
              <w:t>17 May 2027</w:t>
            </w:r>
          </w:p>
        </w:tc>
        <w:tc>
          <w:tcPr>
            <w:tcW w:type="dxa" w:w="2880"/>
          </w:tcPr>
          <w:p>
            <w:r>
              <w:t>Base Period ends</w:t>
            </w:r>
          </w:p>
        </w:tc>
        <w:tc>
          <w:tcPr>
            <w:tcW w:type="dxa" w:w="2880"/>
          </w:tcPr>
          <w:p>
            <w:r>
              <w:t>Roughly one quarter of benefit data exists. Too early for an annualised claim.</w:t>
            </w:r>
          </w:p>
        </w:tc>
      </w:tr>
      <w:tr>
        <w:tc>
          <w:tcPr>
            <w:tcW w:type="dxa" w:w="2880"/>
          </w:tcPr>
          <w:p>
            <w:r>
              <w:t>18 May – 17 Nov 2027</w:t>
            </w:r>
          </w:p>
        </w:tc>
        <w:tc>
          <w:tcPr>
            <w:tcW w:type="dxa" w:w="2880"/>
          </w:tcPr>
          <w:p>
            <w:r>
              <w:t>Option Period</w:t>
            </w:r>
          </w:p>
        </w:tc>
        <w:tc>
          <w:tcPr>
            <w:tcW w:type="dxa" w:w="2880"/>
          </w:tcPr>
          <w:p>
            <w:r>
              <w:t>Two further quarterly reports. This window exists only because Mod P00010 exercised the option early — without it the contractor would leave before any benefit was measurable at all.</w:t>
            </w:r>
          </w:p>
        </w:tc>
      </w:tr>
      <w:tr>
        <w:tc>
          <w:tcPr>
            <w:tcW w:type="dxa" w:w="2880"/>
          </w:tcPr>
          <w:p>
            <w:r>
              <w:t>Sep–Oct 2027</w:t>
            </w:r>
          </w:p>
        </w:tc>
        <w:tc>
          <w:tcPr>
            <w:tcW w:type="dxa" w:w="2880"/>
          </w:tcPr>
          <w:p>
            <w:r>
              <w:t>Measurement handover</w:t>
            </w:r>
          </w:p>
        </w:tc>
        <w:tc>
          <w:tcPr>
            <w:tcW w:type="dxa" w:w="2880"/>
          </w:tcPr>
          <w:p>
            <w:r>
              <w:t>Instrumentation, queries and definitions transferred to FOPBA with a walkthrough. The deliverable is a working capability, not a document.</w:t>
            </w:r>
          </w:p>
        </w:tc>
      </w:tr>
      <w:tr>
        <w:tc>
          <w:tcPr>
            <w:tcW w:type="dxa" w:w="2880"/>
          </w:tcPr>
          <w:p>
            <w:r>
              <w:t>17 Nov 2027</w:t>
            </w:r>
          </w:p>
        </w:tc>
        <w:tc>
          <w:tcPr>
            <w:tcW w:type="dxa" w:w="2880"/>
          </w:tcPr>
          <w:p>
            <w:r>
              <w:t>Period of performance ends</w:t>
            </w:r>
          </w:p>
        </w:tc>
        <w:tc>
          <w:tcPr>
            <w:tcW w:type="dxa" w:w="2880"/>
          </w:tcPr>
          <w:p>
            <w:r>
              <w:t>Contractor measurement stops. Six of seven benefits are still accruing.</w:t>
            </w:r>
          </w:p>
        </w:tc>
      </w:tr>
      <w:tr>
        <w:tc>
          <w:tcPr>
            <w:tcW w:type="dxa" w:w="2880"/>
          </w:tcPr>
          <w:p>
            <w:r>
              <w:t>Jan 2028</w:t>
            </w:r>
          </w:p>
        </w:tc>
        <w:tc>
          <w:tcPr>
            <w:tcW w:type="dxa" w:w="2880"/>
          </w:tcPr>
          <w:p>
            <w:r>
              <w:t>First full benefit year</w:t>
            </w:r>
          </w:p>
        </w:tc>
        <w:tc>
          <w:tcPr>
            <w:tcW w:type="dxa" w:w="2880"/>
          </w:tcPr>
          <w:p>
            <w:r>
              <w:t>The first point an annualised figure against the CBA is defensible. No contractor is present.</w:t>
            </w:r>
          </w:p>
        </w:tc>
      </w:tr>
    </w:tbl>
    <w:p/>
    <w:p>
      <w:pPr>
        <w:pStyle w:val="Heading2"/>
      </w:pPr>
      <w:r>
        <w:t>6. Open gaps in this plan</w:t>
      </w:r>
    </w:p>
    <w:p>
      <w:r>
        <w:t>Recorded here rather than resolved, because three of the four require Government action.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ID</w:t>
            </w:r>
          </w:p>
        </w:tc>
        <w:tc>
          <w:tcPr>
            <w:tcW w:type="dxa" w:w="2160"/>
          </w:tcPr>
          <w:p>
            <w:r>
              <w:rPr>
                <w:b/>
              </w:rPr>
              <w:t>Gap</w:t>
            </w:r>
          </w:p>
        </w:tc>
        <w:tc>
          <w:tcPr>
            <w:tcW w:type="dxa" w:w="2160"/>
          </w:tcPr>
          <w:p>
            <w:r>
              <w:rPr>
                <w:b/>
              </w:rPr>
              <w:t>Consequence</w:t>
            </w:r>
          </w:p>
        </w:tc>
        <w:tc>
          <w:tcPr>
            <w:tcW w:type="dxa" w:w="2160"/>
          </w:tcPr>
          <w:p>
            <w:r>
              <w:rPr>
                <w:b/>
              </w:rPr>
              <w:t>Owner</w:t>
            </w:r>
          </w:p>
        </w:tc>
      </w:tr>
      <w:tr>
        <w:tc>
          <w:tcPr>
            <w:tcW w:type="dxa" w:w="2160"/>
          </w:tcPr>
          <w:p>
            <w:r>
              <w:t>BG-01</w:t>
            </w:r>
          </w:p>
        </w:tc>
        <w:tc>
          <w:tcPr>
            <w:tcW w:type="dxa" w:w="2160"/>
          </w:tcPr>
          <w:p>
            <w:r>
              <w:t>No CDRL requires benefits reporting. The Task Order's ten data items are management and compliance documents. Nothing in the CDRL obliges the contractor to report a benefit measurement, and nothing obliges the Government to accept one.</w:t>
            </w:r>
          </w:p>
        </w:tc>
        <w:tc>
          <w:tcPr>
            <w:tcW w:type="dxa" w:w="2160"/>
          </w:tcPr>
          <w:p>
            <w:r>
              <w:t>This plan has no contractual teeth. Quarterly benefit reporting is proposed as content within CDRL A008, which the COR can accept or decline. If declined, benefits go unmeasured with no contractual breach by anyone.</w:t>
            </w:r>
          </w:p>
        </w:tc>
        <w:tc>
          <w:tcPr>
            <w:tcW w:type="dxa" w:w="2160"/>
          </w:tcPr>
          <w:p>
            <w:r>
              <w:t>M. Whitcombe (COR)</w:t>
            </w:r>
          </w:p>
        </w:tc>
      </w:tr>
      <w:tr>
        <w:tc>
          <w:tcPr>
            <w:tcW w:type="dxa" w:w="2160"/>
          </w:tcPr>
          <w:p>
            <w:r>
              <w:t>BG-02</w:t>
            </w:r>
          </w:p>
        </w:tc>
        <w:tc>
          <w:tcPr>
            <w:tcW w:type="dxa" w:w="2160"/>
          </w:tcPr>
          <w:p>
            <w:r>
              <w:t>Four of five baseline activities need FOPBA to release operational data or schedule caseworker access. None is contracted as Government-furnished.</w:t>
            </w:r>
          </w:p>
        </w:tc>
        <w:tc>
          <w:tcPr>
            <w:tcW w:type="dxa" w:w="2160"/>
          </w:tcPr>
          <w:p>
            <w:r>
              <w:t>If any slips past cutover its benefit becomes permanently unmeasurable. Highest exposure is BEN-06 at $260,000, the largest single line.</w:t>
            </w:r>
          </w:p>
        </w:tc>
        <w:tc>
          <w:tcPr>
            <w:tcW w:type="dxa" w:w="2160"/>
          </w:tcPr>
          <w:p>
            <w:r>
              <w:t>M. Whitcombe (COR)</w:t>
            </w:r>
          </w:p>
        </w:tc>
      </w:tr>
      <w:tr>
        <w:tc>
          <w:tcPr>
            <w:tcW w:type="dxa" w:w="2160"/>
          </w:tcPr>
          <w:p>
            <w:r>
              <w:t>BG-03</w:t>
            </w:r>
          </w:p>
        </w:tc>
        <w:tc>
          <w:tcPr>
            <w:tcW w:type="dxa" w:w="2160"/>
          </w:tcPr>
          <w:p>
            <w:r>
              <w:t>Applicant-level data cannot be used for measurement without a Privacy Act review; the analytics themselves must sit inside the authorized ATO boundary.</w:t>
            </w:r>
          </w:p>
        </w:tc>
        <w:tc>
          <w:tcPr>
            <w:tcW w:type="dxa" w:w="2160"/>
          </w:tcPr>
          <w:p>
            <w:r>
              <w:t>All measures are defined at aggregate level for this reason, which costs analytical precision. A per-applicant longitudinal measure would be stronger and is not available.</w:t>
            </w:r>
          </w:p>
        </w:tc>
        <w:tc>
          <w:tcPr>
            <w:tcW w:type="dxa" w:w="2160"/>
          </w:tcPr>
          <w:p>
            <w:r>
              <w:t>K. Ashworth</w:t>
            </w:r>
          </w:p>
        </w:tc>
      </w:tr>
      <w:tr>
        <w:tc>
          <w:tcPr>
            <w:tcW w:type="dxa" w:w="2160"/>
          </w:tcPr>
          <w:p>
            <w:r>
              <w:t>BG-04</w:t>
            </w:r>
          </w:p>
        </w:tc>
        <w:tc>
          <w:tcPr>
            <w:tcW w:type="dxa" w:w="2160"/>
          </w:tcPr>
          <w:p>
            <w:r>
              <w:t>Attribution. Application volumes move with enrolment periods, policy changes and outreach the Task Order has nothing to do with.</w:t>
            </w:r>
          </w:p>
        </w:tc>
        <w:tc>
          <w:tcPr>
            <w:tcW w:type="dxa" w:w="2160"/>
          </w:tcPr>
          <w:p>
            <w:r>
              <w:t>Benefit claims are reported against the same calendar quarter of the prior year rather than against the immediately preceding quarter, and every report states what else changed. This reduces but does not eliminate the problem.</w:t>
            </w:r>
          </w:p>
        </w:tc>
        <w:tc>
          <w:tcPr>
            <w:tcW w:type="dxa" w:w="2160"/>
          </w:tcPr>
          <w:p>
            <w:r>
              <w:t>C. Whitworth</w:t>
            </w:r>
          </w:p>
        </w:tc>
      </w:tr>
    </w:tbl>
    <w:p/>
    <w:p>
      <w:pPr>
        <w:pStyle w:val="Heading2"/>
      </w:pPr>
      <w:r>
        <w:t>7. Handover — the actual deliverable</w:t>
      </w:r>
    </w:p>
    <w:p>
      <w:r>
        <w:t>The measurable outcome of this plan is not a report. It is that on 18 November 2027, with no contractor present, FOPBA can still produce these numbers. That requires four things to have been transferred, and they are transferred during the Option Period rather than in the closeout week:</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What transfers</w:t>
            </w:r>
          </w:p>
        </w:tc>
        <w:tc>
          <w:tcPr>
            <w:tcW w:type="dxa" w:w="2880"/>
          </w:tcPr>
          <w:p>
            <w:r>
              <w:rPr>
                <w:b/>
              </w:rPr>
              <w:t>To whom</w:t>
            </w:r>
          </w:p>
        </w:tc>
        <w:tc>
          <w:tcPr>
            <w:tcW w:type="dxa" w:w="2880"/>
          </w:tcPr>
          <w:p>
            <w:r>
              <w:rPr>
                <w:b/>
              </w:rPr>
              <w:t>By when</w:t>
            </w:r>
          </w:p>
        </w:tc>
      </w:tr>
      <w:tr>
        <w:tc>
          <w:tcPr>
            <w:tcW w:type="dxa" w:w="2880"/>
          </w:tcPr>
          <w:p>
            <w:r>
              <w:t>Metric definitions — the precise wording of each measure, its inclusions and exclusions</w:t>
            </w:r>
          </w:p>
        </w:tc>
        <w:tc>
          <w:tcPr>
            <w:tcW w:type="dxa" w:w="2880"/>
          </w:tcPr>
          <w:p>
            <w:r>
              <w:t>FOPBA program office (R. Osei)</w:t>
            </w:r>
          </w:p>
        </w:tc>
        <w:tc>
          <w:tcPr>
            <w:tcW w:type="dxa" w:w="2880"/>
          </w:tcPr>
          <w:p>
            <w:r>
              <w:t>Sep 2027</w:t>
            </w:r>
          </w:p>
        </w:tc>
      </w:tr>
      <w:tr>
        <w:tc>
          <w:tcPr>
            <w:tcW w:type="dxa" w:w="2880"/>
          </w:tcPr>
          <w:p>
            <w:r>
              <w:t>Instrumentation and queries, running inside the authorized boundary</w:t>
            </w:r>
          </w:p>
        </w:tc>
        <w:tc>
          <w:tcPr>
            <w:tcW w:type="dxa" w:w="2880"/>
          </w:tcPr>
          <w:p>
            <w:r>
              <w:t>FOPBA IT</w:t>
            </w:r>
          </w:p>
        </w:tc>
        <w:tc>
          <w:tcPr>
            <w:tcW w:type="dxa" w:w="2880"/>
          </w:tcPr>
          <w:p>
            <w:r>
              <w:t>Sep 2027</w:t>
            </w:r>
          </w:p>
        </w:tc>
      </w:tr>
      <w:tr>
        <w:tc>
          <w:tcPr>
            <w:tcW w:type="dxa" w:w="2880"/>
          </w:tcPr>
          <w:p>
            <w:r>
              <w:t>The captured pre-cutover baselines, with their collection method documented</w:t>
            </w:r>
          </w:p>
        </w:tc>
        <w:tc>
          <w:tcPr>
            <w:tcW w:type="dxa" w:w="2880"/>
          </w:tcPr>
          <w:p>
            <w:r>
              <w:t>FOPBA program office</w:t>
            </w:r>
          </w:p>
        </w:tc>
        <w:tc>
          <w:tcPr>
            <w:tcW w:type="dxa" w:w="2880"/>
          </w:tcPr>
          <w:p>
            <w:r>
              <w:t>Sep 2027</w:t>
            </w:r>
          </w:p>
        </w:tc>
      </w:tr>
      <w:tr>
        <w:tc>
          <w:tcPr>
            <w:tcW w:type="dxa" w:w="2880"/>
          </w:tcPr>
          <w:p>
            <w:r>
              <w:t>A walkthrough producing one full report end-to-end, run by FOPBA staff with the contractor observing</w:t>
            </w:r>
          </w:p>
        </w:tc>
        <w:tc>
          <w:tcPr>
            <w:tcW w:type="dxa" w:w="2880"/>
          </w:tcPr>
          <w:p>
            <w:r>
              <w:t>FOPBA program office</w:t>
            </w:r>
          </w:p>
        </w:tc>
        <w:tc>
          <w:tcPr>
            <w:tcW w:type="dxa" w:w="2880"/>
          </w:tcPr>
          <w:p>
            <w:r>
              <w:t>Oct 2027</w:t>
            </w:r>
          </w:p>
        </w:tc>
      </w:tr>
    </w:tbl>
    <w:p/>
    <w:p>
      <w:r>
        <w:t>Final position at Task Order closeout is recorded in the Closeout Report (CDRL A010) as measurement status — which baselines were captured, which reports were produced, and what remains outstanding — not as a benefit claim. Ten months of partial data does not support one.</w:t>
      </w:r>
    </w:p>
    <w:p>
      <w:pPr>
        <w:pStyle w:val="Heading2"/>
      </w:pPr>
      <w:r>
        <w:t>8. What would make this plan fail</w:t>
      </w:r>
    </w:p>
    <w:p>
      <w:r>
        <w:t>Three things, in order of likelihood.</w:t>
      </w:r>
    </w:p>
    <w:p>
      <w:r>
        <w:t>The baselines don't get taken. BG-02. It is October, four of five are unstarted, and every one depends on a Government action. This is not a hypothetical risk; it is the default outcome unless the COR schedules the work. Once cutover happens the failure is permanent and silent — the reports will still be produced, they will simply have nothing to compare against.</w:t>
      </w:r>
    </w:p>
    <w:p>
      <w:r>
        <w:t>Gate 1 slips. Risk R-01 carries a 9 (High/High) score against the ATO on 14 December 2026. Every date in section 5 hangs off go-live. A one-quarter ATO delay removes the entire first measurement window from the contracted period, leaving the handover to happen before any benefit has been observed even once.</w:t>
      </w:r>
    </w:p>
    <w:p>
      <w:r>
        <w:t>The numbers get claimed too early. The CBA's sensitivity analysis already shows the seven-year case going negative at 80% benefit realisation. That makes it tempting to report an encouraging early figure at closeout. One quarter of post-stabilisation data, in the first year of a new system, annualised, is not evidence — and a claimed benefit that later fails to hold is worse for FOPBA than an honest “not yet measurable”. Risk R-04 already tracks the credibility cost of cumulative growth on this Task Order; an overstated benefit claim would compound it.</w:t>
      </w:r>
    </w:p>
    <w:p>
      <w:r>
        <w:t>Assumption A-02 is a live example of why this section exists: it stated the Option Period would be exercised on Base Period performance, and it did not hold — the option was exercised early on appropriations timing. The RAIDD Log records that rather than quietly rewriting the assumption. Benefit claims get the same treatment.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