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Task Order Closeout Report — CDRL A010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Final performance summary</w:t>
      </w:r>
    </w:p>
    <w:p>
      <w:pPr>
        <w:pStyle w:val="Heading2"/>
        <w:spacing w:after="120" w:before="300"/>
      </w:pPr>
      <w:r>
        <w:rPr>
          <w:b/>
          <w:bCs/>
        </w:rPr>
        <w:t xml:space="preserve">Performance Summary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BenefitConnect portal launched on schedule following ATO grant at Milestone Gate 1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All 10 CDRL line items submitted and accepted by COR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Section 508 conformance achieved with two minor remediation items closed post-launch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Zero missed Firm-Fixed-Price budget commitments; 1 contract modification processed (Mod P00001)</w:t>
      </w:r>
    </w:p>
    <w:p>
      <w:pPr>
        <w:pStyle w:val="Heading2"/>
        <w:spacing w:after="120" w:before="300"/>
      </w:pPr>
      <w:r>
        <w:rPr>
          <w:b/>
          <w:bCs/>
        </w:rPr>
        <w:t xml:space="preserve">Lessons Learned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Sequencing Section 508 testing before ATO submission (rather than in parallel) reduced rework — recommend as standard practice on future task orders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Legacy data quality issues (R-02) should be assessed during the proposal phase, not discovered during migration planning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Early, informal COR check-ins reduced formal CDRL rejection cycles significantly</w:t>
      </w:r>
    </w:p>
    <w:p>
      <w:pPr>
        <w:pStyle w:val="Heading2"/>
        <w:spacing w:after="120" w:before="300"/>
      </w:pPr>
      <w:r>
        <w:rPr>
          <w:b/>
          <w:bCs/>
        </w:rPr>
        <w:t xml:space="preserve">Transition to Option Period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Stabilization support continues under the exercised Option Period, with reduced staffing and a shift from delivery cadence to sustainment/support cadence.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2026-07-14T11:45:23.602Z</dcterms:created>
  <dcterms:modified xsi:type="dcterms:W3CDTF">2026-07-14T11:45:23.602Z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