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2213B"/>
          <w:sz w:val="32"/>
          <w:szCs w:val="32"/>
        </w:rPr>
        <w:t xml:space="preserve">Communications Plan</w:t>
      </w:r>
    </w:p>
    <w:p>
      <w:pPr>
        <w:spacing w:after="300"/>
      </w:pPr>
      <w:r>
        <w:rPr>
          <w:i/>
          <w:iCs/>
          <w:color w:val="5B6472"/>
          <w:sz w:val="20"/>
          <w:szCs w:val="20"/>
        </w:rPr>
        <w:t xml:space="preserve">BenefitConnect Portal Modernization — Contractor/government communication cadence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1800"/>
        <w:gridCol w:w="1400"/>
        <w:gridCol w:w="1600"/>
      </w:tblGrid>
      <w:tr>
        <w:tc>
          <w:tcPr>
            <w:tcW w:type="dxa" w:w="2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Communication</w:t>
            </w:r>
          </w:p>
        </w:tc>
        <w:tc>
          <w:tcPr>
            <w:tcW w:type="dxa" w:w="2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Audience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Frequency</w:t>
            </w:r>
          </w:p>
        </w:tc>
        <w:tc>
          <w:tcPr>
            <w:tcW w:type="dxa" w:w="14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600"/>
            <w:shd w:fill="12213B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Contractual?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Monthly Status Report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COR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Monthly (5th)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C. Tyrrell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Yes — CDRL A008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Weekly Internal Team Sync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Acme Federal Systems delivery team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Weekly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D. Ferris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COR Check-in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M. Whitcombe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Bi-weekly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C. Tyrrell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No — expected under QASP cadence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Steering / Sponsor Update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R. Osei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Monthly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C. Tyrrell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Security &amp; ATO Working Group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T. Abernathy, K. Lindqvist, M. Whitcombe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Bi-weekly through Milestone Gate 1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T. Abernathy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No — but ATO package depends on it</w:t>
            </w:r>
          </w:p>
        </w:tc>
      </w:tr>
      <w:tr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Contract Modification Requests</w:t>
            </w:r>
          </w:p>
        </w:tc>
        <w:tc>
          <w:tcPr>
            <w:tcW w:type="dxa" w:w="2400"/>
          </w:tcPr>
          <w:p>
            <w:r>
              <w:rPr>
                <w:sz w:val="18"/>
                <w:szCs w:val="18"/>
              </w:rPr>
              <w:t xml:space="preserve">A. Reyes (CO)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As needed</w:t>
            </w:r>
          </w:p>
        </w:tc>
        <w:tc>
          <w:tcPr>
            <w:tcW w:type="dxa" w:w="1400"/>
          </w:tcPr>
          <w:p>
            <w:r>
              <w:rPr>
                <w:sz w:val="18"/>
                <w:szCs w:val="18"/>
              </w:rPr>
              <w:t xml:space="preserve">C. Tyrrell</w:t>
            </w:r>
          </w:p>
        </w:tc>
        <w:tc>
          <w:tcPr>
            <w:tcW w:type="dxa" w:w="1600"/>
          </w:tcPr>
          <w:p>
            <w:r>
              <w:rPr>
                <w:sz w:val="18"/>
                <w:szCs w:val="18"/>
              </w:rPr>
              <w:t xml:space="preserve">Yes — formal written request required by FAR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2026-07-14T11:45:23.616Z</dcterms:created>
  <dcterms:modified xsi:type="dcterms:W3CDTF">2026-07-14T11:45:23.616Z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