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2213B"/>
          <w:sz w:val="32"/>
          <w:szCs w:val="32"/>
        </w:rPr>
        <w:t xml:space="preserve">Contract Modification Log</w:t>
      </w:r>
    </w:p>
    <w:p>
      <w:pPr>
        <w:spacing w:after="300"/>
      </w:pPr>
      <w:r>
        <w:rPr>
          <w:i/>
          <w:iCs/>
          <w:color w:val="5B6472"/>
          <w:sz w:val="20"/>
          <w:szCs w:val="20"/>
        </w:rPr>
        <w:t xml:space="preserve">BenefitConnect Portal Modernization — CO-approved contract changes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On a Firm-Fixed-Price task order, this log is the FFP equivalent of a commercial change control log — but every entry requires the Contracting Officer's formal, written approval (a 'Mod') to take effect.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3400"/>
        <w:gridCol w:w="1800"/>
        <w:gridCol w:w="1200"/>
        <w:gridCol w:w="1500"/>
        <w:gridCol w:w="1100"/>
      </w:tblGrid>
      <w:tr>
        <w:tc>
          <w:tcPr>
            <w:tcW w:type="dxa" w:w="10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Mod #</w:t>
            </w:r>
          </w:p>
        </w:tc>
        <w:tc>
          <w:tcPr>
            <w:tcW w:type="dxa" w:w="34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8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12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Cost Impact</w:t>
            </w:r>
          </w:p>
        </w:tc>
        <w:tc>
          <w:tcPr>
            <w:tcW w:type="dxa" w:w="15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Schedule Impact</w:t>
            </w:r>
          </w:p>
        </w:tc>
        <w:tc>
          <w:tcPr>
            <w:tcW w:type="dxa" w:w="11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 Approval</w:t>
            </w:r>
          </w:p>
        </w:tc>
      </w:tr>
      <w:tr>
        <w:tc>
          <w:tcPr>
            <w:tcW w:type="dxa" w:w="1000"/>
          </w:tcPr>
          <w:p>
            <w:r>
              <w:rPr>
                <w:sz w:val="18"/>
                <w:szCs w:val="18"/>
              </w:rPr>
              <w:t xml:space="preserve">P00001</w:t>
            </w:r>
          </w:p>
        </w:tc>
        <w:tc>
          <w:tcPr>
            <w:tcW w:type="dxa" w:w="3400"/>
          </w:tcPr>
          <w:p>
            <w:r>
              <w:rPr>
                <w:sz w:val="18"/>
                <w:szCs w:val="18"/>
              </w:rPr>
              <w:t xml:space="preserve">Add independent Section 508 auditor to CDRL A004/A006 process (COR-directed)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Administrative / Scope Clarification</w:t>
            </w:r>
          </w:p>
        </w:tc>
        <w:tc>
          <w:tcPr>
            <w:tcW w:type="dxa" w:w="1200"/>
          </w:tcPr>
          <w:p>
            <w:r>
              <w:rPr>
                <w:sz w:val="18"/>
                <w:szCs w:val="18"/>
              </w:rPr>
              <w:t xml:space="preserve">+$28,000</w:t>
            </w:r>
          </w:p>
        </w:tc>
        <w:tc>
          <w:tcPr>
            <w:tcW w:type="dxa" w:w="1500"/>
          </w:tcPr>
          <w:p>
            <w:r>
              <w:rPr>
                <w:sz w:val="18"/>
                <w:szCs w:val="18"/>
              </w:rPr>
              <w:t xml:space="preserve">None</w:t>
            </w:r>
          </w:p>
        </w:tc>
        <w:tc>
          <w:tcPr>
            <w:tcW w:type="dxa" w:w="1100"/>
          </w:tcPr>
          <w:p>
            <w:r>
              <w:rPr>
                <w:sz w:val="18"/>
                <w:szCs w:val="18"/>
              </w:rPr>
              <w:t xml:space="preserve">Approved</w:t>
            </w:r>
          </w:p>
        </w:tc>
      </w:tr>
      <w:tr>
        <w:tc>
          <w:tcPr>
            <w:tcW w:type="dxa" w:w="1000"/>
          </w:tcPr>
          <w:p>
            <w:r>
              <w:rPr>
                <w:sz w:val="18"/>
                <w:szCs w:val="18"/>
              </w:rPr>
              <w:t xml:space="preserve">P00002</w:t>
            </w:r>
          </w:p>
        </w:tc>
        <w:tc>
          <w:tcPr>
            <w:tcW w:type="dxa" w:w="3400"/>
          </w:tcPr>
          <w:p>
            <w:r>
              <w:rPr>
                <w:sz w:val="18"/>
                <w:szCs w:val="18"/>
              </w:rPr>
              <w:t xml:space="preserve">Extend legacy data read-access dependency window by 15 days (FOPBA IT delay)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Schedule Adjustment</w:t>
            </w:r>
          </w:p>
        </w:tc>
        <w:tc>
          <w:tcPr>
            <w:tcW w:type="dxa" w:w="1200"/>
          </w:tcPr>
          <w:p>
            <w:r>
              <w:rPr>
                <w:sz w:val="18"/>
                <w:szCs w:val="18"/>
              </w:rPr>
              <w:t xml:space="preserve">$0</w:t>
            </w:r>
          </w:p>
        </w:tc>
        <w:tc>
          <w:tcPr>
            <w:tcW w:type="dxa" w:w="1500"/>
          </w:tcPr>
          <w:p>
            <w:r>
              <w:rPr>
                <w:sz w:val="18"/>
                <w:szCs w:val="18"/>
              </w:rPr>
              <w:t xml:space="preserve">+15 days to Milestone Gate 1</w:t>
            </w:r>
          </w:p>
        </w:tc>
        <w:tc>
          <w:tcPr>
            <w:tcW w:type="dxa" w:w="1100"/>
          </w:tcPr>
          <w:p>
            <w:r>
              <w:rPr>
                <w:sz w:val="18"/>
                <w:szCs w:val="18"/>
              </w:rPr>
              <w:t xml:space="preserve">Pending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2026-07-14T11:45:23.633Z</dcterms:created>
  <dcterms:modified xsi:type="dcterms:W3CDTF">2026-07-14T11:45:23.633Z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