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2213B"/>
          <w:sz w:val="32"/>
          <w:szCs w:val="32"/>
        </w:rPr>
        <w:t xml:space="preserve">Federal RACI</w:t>
      </w:r>
    </w:p>
    <w:p>
      <w:pPr>
        <w:spacing w:after="300"/>
      </w:pPr>
      <w:r>
        <w:rPr>
          <w:i/>
          <w:iCs/>
          <w:color w:val="5B6472"/>
          <w:sz w:val="20"/>
          <w:szCs w:val="20"/>
        </w:rPr>
        <w:t xml:space="preserve">BenefitConnect Portal Modernization — Responsibility matrix across contractor and government roles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R = Responsible, A = Accountable, C = Consulted, I = Informed.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>
        <w:tc>
          <w:tcPr>
            <w:tcW w:type="dxa" w:w="22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Activity</w:t>
            </w:r>
          </w:p>
        </w:tc>
        <w:tc>
          <w:tcPr>
            <w:tcW w:type="dxa" w:w="9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Tyrrell (TO PM)</w:t>
            </w:r>
          </w:p>
        </w:tc>
        <w:tc>
          <w:tcPr>
            <w:tcW w:type="dxa" w:w="9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Ferris (Dep PM)</w:t>
            </w:r>
          </w:p>
        </w:tc>
        <w:tc>
          <w:tcPr>
            <w:tcW w:type="dxa" w:w="9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Lindqvist (Arch)</w:t>
            </w:r>
          </w:p>
        </w:tc>
        <w:tc>
          <w:tcPr>
            <w:tcW w:type="dxa" w:w="9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Abernathy (ISSO)</w:t>
            </w:r>
          </w:p>
        </w:tc>
        <w:tc>
          <w:tcPr>
            <w:tcW w:type="dxa" w:w="9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Duvall (508)</w:t>
            </w:r>
          </w:p>
        </w:tc>
        <w:tc>
          <w:tcPr>
            <w:tcW w:type="dxa" w:w="9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Whitcombe (COR)</w:t>
            </w:r>
          </w:p>
        </w:tc>
        <w:tc>
          <w:tcPr>
            <w:tcW w:type="dxa" w:w="9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Reyes (CO)</w:t>
            </w:r>
          </w:p>
        </w:tc>
        <w:tc>
          <w:tcPr>
            <w:tcW w:type="dxa" w:w="9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Osei (Sponsor)</w:t>
            </w:r>
          </w:p>
        </w:tc>
      </w:tr>
      <w:tr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PWS interpretation / scope questions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A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R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C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R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A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CDRL deliverable submission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A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R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C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C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C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R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CDRL deliverable acceptance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I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A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R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C</w:t>
            </w:r>
          </w:p>
        </w:tc>
      </w:tr>
      <w:tr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Section 508 test plan &amp; execution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I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C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C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A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R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ATO / security authorization package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I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C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A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R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I</w:t>
            </w:r>
          </w:p>
        </w:tc>
      </w:tr>
      <w:tr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Technical architecture decisions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C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C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A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C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I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Schedule / IMS maintenance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A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R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I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Contract modification request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R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C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A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I</w:t>
            </w:r>
          </w:p>
        </w:tc>
      </w:tr>
      <w:tr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Program status reporting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A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R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R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I</w:t>
            </w:r>
          </w:p>
        </w:tc>
      </w:tr>
      <w:tr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Go-live / cutover decision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C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C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C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C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A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</w:tcPr>
          <w:p>
            <w:r>
              <w:rPr>
                <w:sz w:val="18"/>
                <w:szCs w:val="18"/>
              </w:rPr>
              <w:t xml:space="preserve">R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2026-07-14T11:45:23.526Z</dcterms:created>
  <dcterms:modified xsi:type="dcterms:W3CDTF">2026-07-14T11:45:23.526Z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