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0"/>
          <w:szCs w:val="30"/>
        </w:rPr>
        <w:t xml:space="preserve">Lessons Learned Register</w:t>
      </w:r>
    </w:p>
    <w:p>
      <w:pPr>
        <w:spacing w:after="240"/>
      </w:pPr>
      <w:r>
        <w:rPr>
          <w:i/>
          <w:iCs/>
          <w:color w:val="5B6472"/>
          <w:sz w:val="20"/>
          <w:szCs w:val="20"/>
        </w:rPr>
        <w:t xml:space="preserve">BenefitConnect Portal Modernization · FOPBA · HSS-IDIQ Task Order 3 · Acme Federal Systems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Lessons Captured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10 (8 Improvement, 2 Positive Practice)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Recommendations Implemented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10 of 10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Maintained By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C. Tyrrell, Task Order PM</w:t>
            </w:r>
          </w:p>
        </w:tc>
      </w:tr>
      <w:tr>
        <w:tc>
          <w:tcPr>
            <w:tcW w:type="dxa" w:w="3000"/>
            <w:shd w:fill="FAFBFC" w:val="clear"/>
          </w:tcPr>
          <w:p>
            <w:r>
              <w:rPr>
                <w:b/>
                <w:bCs/>
                <w:sz w:val="20"/>
                <w:szCs w:val="20"/>
              </w:rPr>
              <w:t xml:space="preserve">Purpose</w:t>
            </w:r>
          </w:p>
        </w:tc>
        <w:tc>
          <w:tcPr>
            <w:tcW w:type="dxa" w:w="6360"/>
          </w:tcPr>
          <w:p>
            <w:r>
              <w:rPr>
                <w:sz w:val="20"/>
                <w:szCs w:val="20"/>
              </w:rPr>
              <w:t xml:space="preserve">Living register maintained through Task Order performance, summarized in the Task Order Closeout Report</w:t>
            </w:r>
          </w:p>
        </w:tc>
      </w:tr>
    </w:tbl>
    <w:p>
      <w:pPr>
        <w:spacing w:after="200"/>
      </w:pPr>
    </w:p>
    <w:p>
      <w:pPr>
        <w:spacing w:after="100"/>
      </w:pPr>
      <w:r>
        <w:rPr>
          <w:i/>
          <w:iCs/>
          <w:color w:val="5B6472"/>
          <w:sz w:val="20"/>
          <w:szCs w:val="20"/>
        </w:rPr>
        <w:t xml:space="preserve">Each entry separates what happened (factual, blame-free) from root cause from recommendation, adapted for federal-specific dynamics: ATO/RMF timing, Section 508 conformance, CDRL acceptance cycles, and IDIQ Task Order modification practice.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LL-01 — ATO / Security Authorization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Planning   ·   Owner: T. Abernathy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The Independent Security Control Assessment (SCA) needed for the ATO package was not scheduled until after substantial development, compressing the remediation window before planned cutover.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IMS treated ATO/RMF authorization as a single late-stage milestone rather than a parallel workstream needing its own lead time.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Contributed to R-01 on the RAIDD Log; SCA vendor's earliest slot left only six weeks before go-live for remediation.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Schedule the SCA as its own IMS workstream from kickoff, independent of the development schedule.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LL-02 — Section 508 Compliance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Execution (Build)   ·   Owner: P. Duvall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Automated accessibility scanning missed keyboard-navigation and screen-reader defects in custom UI components, caught only during late manual assistive-technology testing.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Section 508 test planning assumed automated scanning gave sufficient coverage; manual AT testing was scoped as a final pass, not continuous alongside development.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About two weeks of rework on custom form components, absorbed within Testing phase float.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Require manual assistive-technology testing at the point each custom component is built, not only in a final accessibility pass.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LL-03 — CDRL / Deliverable Acceptance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Execution   ·   Owner: D. Ferris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Two early CDRL submissions (A002, A005) were returned by the COR for revision — wrong format and missing version control metadata.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team read the CDRL Format column informally rather than as a literal, binding requirement; no internal check compared drafts to CDRL specs before submission.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Each resubmission cycle took about one week, consumed from schedule float with no contract impact.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Add a deliverable quality-check step against the CDRL's exact Format and content requirements before any COR submission.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LL-04 — Contract Modifications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Execution   ·   Owner: C. Tyrrell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Modification P00001 took longer than expected because the CO required a fully costed, FAR-compliant proposal before beginning review.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team expected a scope change to move quickly once verbally agreed; federal modifications require a fully documented, costed proposal regardless of informal agreement.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Added about ten days to P00001's execution timeline; no overall Task Order schedule impact.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Prepare the full costed modification proposal package before treating informal government agreement as sufficient to begin work.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LL-05 — Governance / COR-CO Roles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Initiation   ·   Owner: C. Tyrrell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A proposed scope clarification was routed directly to the CO rather than the COR, assuming any government contact could address it.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Onboarding did not include explicit guidance on the COR/CO distinction.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The CO redirected the request to the COR, adding about three days versus a same-day clarification; no cost impact.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Include an explicit COR-vs-CO routing guide in Task Order kickoff onboarding, with concrete examples.</w:t>
      </w:r>
    </w:p>
    <w:p>
      <w:pPr>
        <w:spacing w:after="60" w:before="300"/>
      </w:pPr>
      <w:r>
        <w:rPr>
          <w:b/>
          <w:bCs/>
          <w:color w:val="1E7B4D"/>
          <w:sz w:val="24"/>
          <w:szCs w:val="24"/>
        </w:rPr>
        <w:t xml:space="preserve">LL-06 — Staffing Compliance</w:t>
      </w:r>
      <w:r>
        <w:rPr>
          <w:b/>
          <w:bCs/>
          <w:color w:val="1E7B4D"/>
          <w:sz w:val="18"/>
          <w:szCs w:val="18"/>
        </w:rPr>
        <w:t xml:space="preserve">   ★ Positive Practice</w:t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Planning   ·   Owner: T. Abernathy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The team proactively confirmed with the ISSO that FOPBA data-handling and ATO requirements mandate an all-onshore, US-person delivery team before any staffing decisions were made.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PM applied a lesson from prior programs — verify compliance-driven staffing constraints during planning, not after commitments are made.</w:t>
      </w:r>
    </w:p>
    <w:p>
      <w:pPr>
        <w:shd w:fill="E7F4ED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Positive — avoided unwinding an offshore staffing decision mid-Task-Order, which would have required contract and clearance rework.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Confirm onshore/US-person staffing requirements with the ISSO during Resource Plan drafting, before any staffing commitments.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LL-07 — Status Reporting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Execution   ·   Owner: D. Ferris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The first two Monthly Status Reports used commercial terminology (“sprint,” “burndown”) that did not map to the COR's expectations for federal reporting.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Status Report template was adapted from the Agile suite's format without confirming what the COR's office actually expected.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The COR requested a revised format aligned to CDRL milestones and PWS deliverables; no schedule or cost impact, one extra review cycle.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Confirm the government stakeholder's expected reporting format and terminology during Communications Plan development.</w:t>
      </w:r>
    </w:p>
    <w:p>
      <w:pPr>
        <w:spacing w:after="60" w:before="300"/>
      </w:pPr>
      <w:r>
        <w:rPr>
          <w:b/>
          <w:bCs/>
          <w:color w:val="1E7B4D"/>
          <w:sz w:val="24"/>
          <w:szCs w:val="24"/>
        </w:rPr>
        <w:t xml:space="preserve">LL-08 — Risk Management</w:t>
      </w:r>
      <w:r>
        <w:rPr>
          <w:b/>
          <w:bCs/>
          <w:color w:val="1E7B4D"/>
          <w:sz w:val="18"/>
          <w:szCs w:val="18"/>
        </w:rPr>
        <w:t xml:space="preserve">   ★ Positive Practice</w:t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Planning   ·   Owner: C. Tyrrell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The team pre-identified Section 508 conformance testing as a High risk during Planning and pre-negotiated a dedicated QASP surveillance checkpoint for it.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P. Duvall's early involvement in Planning let the team treat accessibility as a named governance risk from the start.</w:t>
      </w:r>
    </w:p>
    <w:p>
      <w:pPr>
        <w:shd w:fill="E7F4ED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Positive — the dedicated surveillance checkpoint caught the LL-02 defects early enough that no modification or schedule slip resulted.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For any Task Order with a named compliance differentiator, name a specific QASP surveillance checkpoint during Planning and involve the compliance lead from kickoff.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LL-09 — Data Quality / Legacy Migration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Planning   ·   Owner: K. Lindqvist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Legacy applicant data was found to have inconsistent formatting that complicated migration validation planning, identified as R-02 on the RAIDD Log during Planning rather than earlier in proposal development.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proposal-stage estimate for CDRL A009 (Data Migration Cutover) assumed the legacy system's documentation was representative of actual production data, without profiling a real sample before the Task Order was priced.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Extends the CDRL A009 timeline and carries data-quality rework risk during Build; tracked as R-02.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Profile a representative sample of actual production data during proposal development, before pricing and scheduling the migration CDRL.</w:t>
      </w:r>
    </w:p>
    <w:p>
      <w:pPr>
        <w:spacing w:after="60" w:before="300"/>
      </w:pPr>
      <w:r>
        <w:rPr>
          <w:b/>
          <w:bCs/>
          <w:color w:val="9C6F1E"/>
          <w:sz w:val="24"/>
          <w:szCs w:val="24"/>
        </w:rPr>
        <w:t xml:space="preserve">LL-10 — COR Review Turnaround</w:t>
      </w:r>
      <w:r>
        <w:rPr>
          <w:b/>
          <w:bCs/>
          <w:color w:val="1E7B4D"/>
          <w:sz w:val="18"/>
          <w:szCs w:val="18"/>
        </w:rPr>
        <w:t xml:space="preserve"/>
      </w:r>
    </w:p>
    <w:p>
      <w:pPr>
        <w:spacing w:after="100"/>
      </w:pPr>
      <w:r>
        <w:rPr>
          <w:i/>
          <w:iCs/>
          <w:color w:val="5B6472"/>
          <w:sz w:val="18"/>
          <w:szCs w:val="18"/>
        </w:rPr>
        <w:t xml:space="preserve">Phase: Execution   ·   Owner: C. Tyrrell   ·   Status: Implemented</w:t>
      </w:r>
    </w:p>
    <w:p>
      <w:pPr>
        <w:spacing w:after="60"/>
      </w:pPr>
      <w:r>
        <w:rPr>
          <w:b/>
          <w:bCs/>
          <w:sz w:val="19"/>
          <w:szCs w:val="19"/>
        </w:rPr>
        <w:t xml:space="preserve">What Happened: </w:t>
      </w:r>
      <w:r>
        <w:rPr>
          <w:sz w:val="19"/>
          <w:szCs w:val="19"/>
        </w:rPr>
        <w:t xml:space="preserve">COR review turnaround on CDRL A001 (Project Management Plan) ran five business days over the cadence implied by the QASP, tracked as I-01 on the RAIDD Log.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Root Cause: </w:t>
      </w:r>
      <w:r>
        <w:rPr>
          <w:sz w:val="19"/>
          <w:szCs w:val="19"/>
        </w:rPr>
        <w:t xml:space="preserve">The QASP describes expected review effort and inspection method per CDRL item but does not commit the COR's office to a specific turnaround-time service level.</w:t>
      </w:r>
    </w:p>
    <w:p>
      <w:pPr>
        <w:shd w:fill="FDF3DF" w:val="clear"/>
        <w:spacing w:after="60"/>
      </w:pPr>
      <w:r>
        <w:rPr>
          <w:b/>
          <w:bCs/>
          <w:sz w:val="19"/>
          <w:szCs w:val="19"/>
        </w:rPr>
        <w:t xml:space="preserve">Impact: </w:t>
      </w:r>
      <w:r>
        <w:rPr>
          <w:sz w:val="19"/>
          <w:szCs w:val="19"/>
        </w:rPr>
        <w:t xml:space="preserve">Minor schedule compression on downstream deliverables tied to CDRL A001 sign-off; no cost impact, absorbed within schedule float.</w:t>
      </w:r>
    </w:p>
    <w:p>
      <w:pPr>
        <w:spacing w:after="60"/>
      </w:pPr>
      <w:r>
        <w:rPr>
          <w:b/>
          <w:bCs/>
          <w:sz w:val="19"/>
          <w:szCs w:val="19"/>
        </w:rPr>
        <w:t xml:space="preserve">Recommendation: </w:t>
      </w:r>
      <w:r>
        <w:rPr>
          <w:b/>
          <w:bCs/>
          <w:sz w:val="19"/>
          <w:szCs w:val="19"/>
        </w:rPr>
        <w:t xml:space="preserve">Raise expected CDRL review cadence explicitly with the COR during Communications Plan development, and build a modest schedule buffer around early CDRL submissions.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2026-07-14T22:29:28.408Z</dcterms:created>
  <dcterms:modified xsi:type="dcterms:W3CDTF">2026-07-14T22:29:28.417Z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