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0"/>
          <w:szCs w:val="30"/>
        </w:rPr>
        <w:t xml:space="preserve">Federal Program Management Methodology Guide</w:t>
      </w:r>
    </w:p>
    <w:p>
      <w:pPr>
        <w:spacing w:after="240"/>
      </w:pPr>
      <w:r>
        <w:rPr>
          <w:i/>
          <w:iCs/>
          <w:color w:val="5B6472"/>
          <w:sz w:val="20"/>
          <w:szCs w:val="20"/>
        </w:rPr>
        <w:t xml:space="preserve">BenefitConnect Portal Modernization · FOPBA · HSS-IDIQ Task Order 3 · Acme Federal Systems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This guide explains how federal civilian IT program management actually works, phase by phase, using the BenefitConnect Portal Modernization Task Order as a running example. It's written for readers who know commercial PMBOK or Agile delivery well but haven't managed a federal government contract before.</w:t>
      </w:r>
    </w:p>
    <w:p>
      <w:pPr>
        <w:spacing w:after="140"/>
      </w:pPr>
      <w:r>
        <w:rPr>
          <w:i/>
          <w:iCs/>
          <w:sz w:val="20"/>
          <w:szCs w:val="20"/>
        </w:rPr>
        <w:t xml:space="preserve">Why this exists: my background is 30 years of healthcare and financial-services program management — federally regulated work (HIPAA, X12, ICD-10), but not federal contracting mechanics. Building this suite was as much a learning exercise for me as a portfolio deliverable, and this guide captures what I learned along the way.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1. Methodology at a Glance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A federal civilian IT Task Order runs on two parallel tracks that commercial programs don't have to reconcile: a delivery track (requirements, build, test, deploy) and a contractual/compliance track (CDRL submissions, QASP inspections, ATO/RMF security authorization, FAR-governed change control) with its own gates, formats, and government-side approvers.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single biggest mental shift from commercial PM: only the Contracting Officer (CO) can bind the contract, so even a small scope change requires a formally documented, costed Contract Modification before work can proceed, regardless of how quickly the government stakeholder verbally agrees.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This Task Order deliberately is not Cost-Plus and does not carry Earned Value Management (EVM)/IPMR reporting. Firm-Fixed-Price was chosen because it's the most common federal civilian IT contract type, maps cleanly onto PM disciplines already well known from healthcare/financial-services delivery, and avoids representing EVM expertise not yet genuinely developed. A Cost-Plus/EVM-heavy federal suite remains a candidate for a future, separate portfolio piece.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Under FFP, price is fixed at award and the contractor bears cost-overrun risk; under Cost-Plus, the government reimburses actual allowable costs plus fee and bears most of the cost risk instead. This is why estimating accuracy during Planning matters so much: an underestimate is margin the contractor loses, not just a client-absorbed variance.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2. The Five Phases</w:t>
      </w:r>
    </w:p>
    <w:p>
      <w:pPr>
        <w:spacing w:after="140"/>
      </w:pPr>
      <w:r>
        <w:rPr>
          <w:i/>
          <w:iCs/>
          <w:sz w:val="20"/>
          <w:szCs w:val="20"/>
        </w:rPr>
        <w:t xml:space="preserve">Mapped to the classic PMBOK process groups: Task Order Authorization &amp; Planning covers Initiation and the start of Planning; Requirements &amp; Design completes Planning; Build &amp; Compliance Testing and ATO &amp; Cutover together are Execution and Monitoring &amp; Controlling; Operations &amp; Closeout is Closeout. The names are federal-specific because the gates are federal-specific, but the underlying five-group shape is the same one PMBOK uses.</w:t>
      </w:r>
    </w:p>
    <w:p>
      <w:pPr>
        <w:spacing w:after="10" w:before="200"/>
      </w:pPr>
      <w:r>
        <w:rPr>
          <w:b/>
          <w:bCs/>
          <w:color w:val="9C6F1E"/>
          <w:sz w:val="21"/>
          <w:szCs w:val="21"/>
        </w:rPr>
        <w:t xml:space="preserve">Phase 1 — Task Order Authorization &amp; Planning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Task Order begins when the government issues a Performance Work Statement (PWS) against the IDIQ. The contractor's PM builds the Federal RACI, CDRL, and IMS, and begins the ATO/RMF workstream in parallel from Day 1 rather than treating it as a later milestone (LL-01).</w:t>
      </w:r>
    </w:p>
    <w:p>
      <w:pPr>
        <w:spacing w:after="10" w:before="200"/>
      </w:pPr>
      <w:r>
        <w:rPr>
          <w:b/>
          <w:bCs/>
          <w:color w:val="9C6F1E"/>
          <w:sz w:val="21"/>
          <w:szCs w:val="21"/>
        </w:rPr>
        <w:t xml:space="preserve">Phase 2 — Requirements &amp; Design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Requirements gathering runs alongside two federal-specific tracks: Section 508 requirements capture (supporting a later VPAT) and RMF-aware architecture design from the start, rather than retrofitting security later. Early Section 508 involvement in Design paid off directly in LL-08.</w:t>
      </w:r>
    </w:p>
    <w:p>
      <w:pPr>
        <w:spacing w:after="10" w:before="200"/>
      </w:pPr>
      <w:r>
        <w:rPr>
          <w:b/>
          <w:bCs/>
          <w:color w:val="9C6F1E"/>
          <w:sz w:val="21"/>
          <w:szCs w:val="21"/>
        </w:rPr>
        <w:t xml:space="preserve">Phase 3 — Build &amp; Compliance Testing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Development proceeds against the design, with testing spanning functional QA, automated and manual Section 508 testing, and a Security Control Assessment (SCA) feeding the ATO package. QASP-scheduled government surveillance runs independent of internal QA sign-off (LL-02, LL-03).</w:t>
      </w:r>
    </w:p>
    <w:p>
      <w:pPr>
        <w:spacing w:after="10" w:before="200"/>
      </w:pPr>
      <w:r>
        <w:rPr>
          <w:b/>
          <w:bCs/>
          <w:color w:val="9C6F1E"/>
          <w:sz w:val="21"/>
          <w:szCs w:val="21"/>
        </w:rPr>
        <w:t xml:space="preserve">Phase 4 — ATO &amp; Cutover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Before go-live, the system must receive an Authority to Operate (ATO) based on the SSP, Security Assessment Report, and POA&amp;M. ATO is a binary gate, not a variance to manage — low-severity POA&amp;M items can be accepted as ongoing risk under monitoring, but higher-severity findings must be resolved first.</w:t>
      </w:r>
    </w:p>
    <w:p>
      <w:pPr>
        <w:spacing w:after="10" w:before="200"/>
      </w:pPr>
      <w:r>
        <w:rPr>
          <w:b/>
          <w:bCs/>
          <w:color w:val="9C6F1E"/>
          <w:sz w:val="21"/>
          <w:szCs w:val="21"/>
        </w:rPr>
        <w:t xml:space="preserve">Phase 5 — Operations &amp; Closeout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Option Period scales the team down to steady-state support and continuous ATO monitoring. Task Order completion requires formal CDRL closeout certification, since an ATO's validity depends on continuous monitoring, not a one-time approval.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3. BenefitConnect by the Numbers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Total Firm-Fixed-Price value (Base + Option): $2,140,000. CDRL line items: 10 (A001–A010). ATO Milestone Gate: Month 7. Production Go-Live Gate: Month 8. R-01 (ATO schedule risk): ATO assessment could delay Milestone Gate 1 past Month 7. R-02 (Data quality risk): legacy applicant data formatting complicates migration validation. I-01 (COR turnaround issue): CDRL A001 review ran 5 business days over QASP-implied cadence.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R-01 and R-02 are also where two Lessons Learned entries come from directly: LL-01 traces to R-01 (the ATO scheduling correction), and LL-09 traces to R-02 (the data-quality lesson about profiling legacy data during proposal development, not after). LL-10 traces to I-01, the COR turnaround issue.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4. Key Discipline Differences from Commercial PM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Discipline/Role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Commercial/Healthcare PM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Federal Civilian Contracting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Deliverables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Tracked on a deliverables register; late delivery is a schedule problem.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Tracked on a CDRL with contractual weight — format, due date, and acceptance authority are binding contract terms.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Quality assurance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Internal QA sign-off, sometimes client review.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Government runs its own QASP-based surveillance independent of contractor QA.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Scope change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PM and Sponsor agree; a change request updates the baseline.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Only the CO can approve a costed, FAR-compliant Contract Modification (LL-04).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Security authorization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Internal security review, sometimes SOC 2.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Formal ATO required against the RMF baseline before production go-live.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Accessibility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Best-practice guideline, often deprioritized.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Section 508 conformance is a legal requirement, verified via VPAT and manual AT testing.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Governance roles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Sponsor and Steering Committee hold decision authority.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Authority split between COR (oversight) and CO (only role that can bind the contract).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Staffing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Onshore/offshore mix is usually a cost optimization.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Can be a hard compliance requirement — BenefitConnect is 100% onshore due to PII/ATO.</w:t>
            </w:r>
          </w:p>
        </w:tc>
      </w:tr>
    </w:tbl>
    <w:p>
      <w:pPr>
        <w:pStyle w:val="Heading1"/>
        <w:spacing w:after="120" w:before="280"/>
      </w:pPr>
      <w:r>
        <w:rPr>
          <w:b/>
          <w:bCs/>
          <w:color w:val="12213B"/>
        </w:rPr>
        <w:t xml:space="preserve">5. Understanding the Contract Vehicle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An IDIQ (Indefinite Delivery/Indefinite Quantity) contract is an umbrella agreement with no fixed total value; a Task Order is a specific, funded work assignment issued under it. BenefitConnect is Task Order 3 under the Health Systems Support IDIQ (HSS-IDIQ), issued by FOPBA to Acme Federal Systems as a Firm-Fixed-Price effort.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Task Orders under a multi-award IDIQ are typically competed only among the IDIQ's awarded vendor pool via a Request for Task Order Proposal (RTOP) — narrower and faster than full open-market competition, but still a separate competitive event from winning the IDIQ position itself.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6. How This Suite Compares to the Other Two Suites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PMBOK/Waterfall suite (Enrollment &amp; Claims) uses predictive, phase-gated delivery for an internal healthcare program with the same RAIDD and governance rigor. The Agile/Scrum suite (MedConnect Mobile) uses adaptive, sprint-based delivery for a commercial mobile program. This Federal suite's delivery approach is predictive and phase-gated, closer to the PMBOK suite — what's genuinely new is the contractual/regulatory layer: an external government counterparty, a formal ATO gate, and contractually-binding CDRL deliverables.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7. Roles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Responsibility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C. Tyrrell — Task Order PM (Contractor)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Owns overall delivery, schedule, cost; single point of accountability to COR/CO.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T. Abernathy — ISSO (Contractor)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Owns ATO package end-to-end and continuous monitoring after go-live.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P. Duvall — 508 Compliance Lead (Contractor)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Owns Section 508 conformance testing and VPAT; rolls off after Base Period.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M. Whitcombe — COR (Government)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Day-to-day oversight; accepts CDRL deliverables; runs QASP surveillance.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A. Reyes — CO (Government)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Only role legally authorized to bind the contract or approve modifications.</w:t>
            </w:r>
          </w:p>
        </w:tc>
      </w:tr>
    </w:tbl>
    <w:p>
      <w:pPr>
        <w:pStyle w:val="Heading1"/>
        <w:spacing w:after="120" w:before="280"/>
      </w:pPr>
      <w:r>
        <w:rPr>
          <w:b/>
          <w:bCs/>
          <w:color w:val="12213B"/>
        </w:rPr>
        <w:t xml:space="preserve">8. Questions &amp; Answers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What is a CDRL, really? The numbered, contractual list of every deliverable a contractor must submit, including format, due date, and accepting government role — missing an item is a contract compliance issue, not just a schedule slip.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Is a COR the same as a CO? No — the COR provides day-to-day oversight; only the CO can bind the contract or approve a modification.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Can this Task Order use offshore staff? No — FOPBA applicant PII handling and ATO/RMF requirements mandate an all-onshore, US-person delivery team.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Why Firm-Fixed-Price instead of Cost-Plus? FFP is the most common federal civilian IT contract type of this size, places cost risk on the contractor for price certainty, and avoids requiring EVM/IPMR expertise not yet developed.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9. What Building This Taught Me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Federal contracting turned out to be less about new PM skills and more about new constraints on skills already held: the same schedule discipline that protects a healthcare go-live date protects an ATO cutover date, but the ATO gate itself — binary, security-authorization-driven, government-owned — has no clean healthcare analogy the way CDRL or QASP do.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most transferable insight: in any regulated environment, the PM's job includes knowing which gates are genuinely non-negotiable and building the schedule around those first. LL-01 and LL-08 are the same lesson applied twice — identify the hardest compliance gate early, and build everything else around it.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10. Related Reading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Federal Glossary (glossary.html) — plain-English definitions of every federal term used across this suite.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Lessons Learned Register (lessons-learned.html) — the eight entries referenced throughout this guide.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Task Order Resource Plan (resource-plan.html) — the named, all-onshore delivery roster reconciled to the Task Order Budget.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2026-07-14T22:31:01.811Z</dcterms:created>
  <dcterms:modified xsi:type="dcterms:W3CDTF">2026-07-14T22:31:01.811Z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