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Task Order Charter</w:t>
      </w:r>
    </w:p>
    <w:p>
      <w:r>
        <w:rPr>
          <w:b/>
        </w:rPr>
        <w:t>BenefitConnect Portal Modernization</w:t>
      </w:r>
    </w:p>
    <w:p>
      <w:r>
        <w:t>Task Order 3 — Acme Federal Systems, for the Federal Office of Public Benefits Administration (FOPBA)</w:t>
      </w:r>
    </w:p>
    <w:tbl>
      <w:tblPr>
        <w:tblStyle w:val="LightGrid-Accent1"/>
        <w:tblW w:type="auto" w:w="0"/>
        <w:tblLook w:firstColumn="1" w:firstRow="1" w:lastColumn="0" w:lastRow="0" w:noHBand="0" w:noVBand="1" w:val="04A0"/>
      </w:tblPr>
      <w:tblGrid>
        <w:gridCol w:w="4320"/>
        <w:gridCol w:w="4320"/>
      </w:tblGrid>
      <w:tr>
        <w:tc>
          <w:tcPr>
            <w:tcW w:type="dxa" w:w="4320"/>
          </w:tcPr>
          <w:p>
            <w:r>
              <w:rPr>
                <w:b/>
              </w:rPr>
              <w:t>Field</w:t>
            </w:r>
          </w:p>
        </w:tc>
        <w:tc>
          <w:tcPr>
            <w:tcW w:type="dxa" w:w="4320"/>
          </w:tcPr>
          <w:p>
            <w:r>
              <w:rPr>
                <w:b/>
              </w:rPr>
              <w:t>Value</w:t>
            </w:r>
          </w:p>
        </w:tc>
      </w:tr>
      <w:tr>
        <w:tc>
          <w:tcPr>
            <w:tcW w:type="dxa" w:w="4320"/>
          </w:tcPr>
          <w:p>
            <w:r>
              <w:t>Task Order PM</w:t>
            </w:r>
          </w:p>
        </w:tc>
        <w:tc>
          <w:tcPr>
            <w:tcW w:type="dxa" w:w="4320"/>
          </w:tcPr>
          <w:p>
            <w:r>
              <w:t>C. Tyrrell</w:t>
            </w:r>
          </w:p>
        </w:tc>
      </w:tr>
      <w:tr>
        <w:tc>
          <w:tcPr>
            <w:tcW w:type="dxa" w:w="4320"/>
          </w:tcPr>
          <w:p>
            <w:r>
              <w:t>Program Sponsor (FOPBA)</w:t>
            </w:r>
          </w:p>
        </w:tc>
        <w:tc>
          <w:tcPr>
            <w:tcW w:type="dxa" w:w="4320"/>
          </w:tcPr>
          <w:p>
            <w:r>
              <w:t>R. Osei</w:t>
            </w:r>
          </w:p>
        </w:tc>
      </w:tr>
      <w:tr>
        <w:tc>
          <w:tcPr>
            <w:tcW w:type="dxa" w:w="4320"/>
          </w:tcPr>
          <w:p>
            <w:r>
              <w:t>Contracting Officer's Rep. (COR)</w:t>
            </w:r>
          </w:p>
        </w:tc>
        <w:tc>
          <w:tcPr>
            <w:tcW w:type="dxa" w:w="4320"/>
          </w:tcPr>
          <w:p>
            <w:r>
              <w:t>M. Whitcombe</w:t>
            </w:r>
          </w:p>
        </w:tc>
      </w:tr>
      <w:tr>
        <w:tc>
          <w:tcPr>
            <w:tcW w:type="dxa" w:w="4320"/>
          </w:tcPr>
          <w:p>
            <w:r>
              <w:t>Contracting Officer (CO)</w:t>
            </w:r>
          </w:p>
        </w:tc>
        <w:tc>
          <w:tcPr>
            <w:tcW w:type="dxa" w:w="4320"/>
          </w:tcPr>
          <w:p>
            <w:r>
              <w:t>A. Reyes</w:t>
            </w:r>
          </w:p>
        </w:tc>
      </w:tr>
      <w:tr>
        <w:tc>
          <w:tcPr>
            <w:tcW w:type="dxa" w:w="4320"/>
          </w:tcPr>
          <w:p>
            <w:r>
              <w:t>Charter Date</w:t>
            </w:r>
          </w:p>
        </w:tc>
        <w:tc>
          <w:tcPr>
            <w:tcW w:type="dxa" w:w="4320"/>
          </w:tcPr>
          <w:p>
            <w:r>
              <w:t>20 April 2026</w:t>
            </w:r>
          </w:p>
        </w:tc>
      </w:tr>
      <w:tr>
        <w:tc>
          <w:tcPr>
            <w:tcW w:type="dxa" w:w="4320"/>
          </w:tcPr>
          <w:p>
            <w:r>
              <w:t>Version</w:t>
            </w:r>
          </w:p>
        </w:tc>
        <w:tc>
          <w:tcPr>
            <w:tcW w:type="dxa" w:w="4320"/>
          </w:tcPr>
          <w:p>
            <w:r>
              <w:t>1.0</w:t>
            </w:r>
          </w:p>
        </w:tc>
      </w:tr>
    </w:tbl>
    <w:p/>
    <w:p>
      <w:pPr>
        <w:pStyle w:val="Heading2"/>
      </w:pPr>
      <w:r>
        <w:t>1. Purpose &amp; Business Case</w:t>
      </w:r>
    </w:p>
    <w:p>
      <w:r>
        <w:t>FOPBA's legacy benefits enrollment portal runs on an unsupported COTS platform that cannot meet current Section 508 accessibility standards or federal Authority to Operate (ATO) security requirements without significant remediation. This Task Order authorizes Acme Federal Systems, under IDIQ Contract Vehicle GS-00F-XXXX, to modernize the BenefitConnect portal: legacy data migration, a Section 508/WCAG-conformant rebuild of the citizen-facing enrollment experience, and a full ATO package to authorize the modernized system for production use.</w:t>
      </w:r>
    </w:p>
    <w:p>
      <w:pPr>
        <w:pStyle w:val="Heading2"/>
      </w:pPr>
      <w:r>
        <w:t>2. Task Order Objectives &amp; Success Criteria</w:t>
      </w:r>
    </w:p>
    <w:p>
      <w:pPr>
        <w:pStyle w:val="ListBullet"/>
      </w:pPr>
      <w:r>
        <w:t>Achieve full Section 508/VPAT conformance prior to Milestone Gate 1.</w:t>
      </w:r>
    </w:p>
    <w:p>
      <w:pPr>
        <w:pStyle w:val="ListBullet"/>
      </w:pPr>
      <w:r>
        <w:t>Obtain ATO with zero open Critical/High security findings at the Milestone Gate 1 review.</w:t>
      </w:r>
    </w:p>
    <w:p>
      <w:pPr>
        <w:pStyle w:val="ListBullet"/>
      </w:pPr>
      <w:r>
        <w:t>Migrate legacy applicant/enrollment data with full field-level validation prior to cutover.</w:t>
      </w:r>
    </w:p>
    <w:p>
      <w:pPr>
        <w:pStyle w:val="ListBullet"/>
      </w:pPr>
      <w:r>
        <w:t>Complete within the approved FFP value and Period of Performance, reconciled to $0 variance on baseline.</w:t>
      </w:r>
    </w:p>
    <w:p>
      <w:pPr>
        <w:pStyle w:val="ListBullet"/>
      </w:pPr>
      <w:r>
        <w:t>Achieve a Satisfactory or better CPARS rating sufficient to justify Option Period exercise.</w:t>
      </w:r>
    </w:p>
    <w:p>
      <w:pPr>
        <w:pStyle w:val="Heading2"/>
      </w:pPr>
      <w:r>
        <w:t>3. High-Level Scope</w:t>
      </w:r>
    </w:p>
    <w:p>
      <w:pPr>
        <w:pStyle w:val="Heading3"/>
      </w:pPr>
      <w:r>
        <w:t>In Scope</w:t>
      </w:r>
    </w:p>
    <w:p>
      <w:pPr>
        <w:pStyle w:val="ListBullet"/>
      </w:pPr>
      <w:r>
        <w:t>Legacy applicant/enrollment data migration and validation.</w:t>
      </w:r>
    </w:p>
    <w:p>
      <w:pPr>
        <w:pStyle w:val="ListBullet"/>
      </w:pPr>
      <w:r>
        <w:t>Section 508/WCAG-conformant rebuild of the citizen-facing portal.</w:t>
      </w:r>
    </w:p>
    <w:p>
      <w:pPr>
        <w:pStyle w:val="ListBullet"/>
      </w:pPr>
      <w:r>
        <w:t>Full ATO package: SSP, Security Control Assessment, POA&amp;M process, and supporting CDRLs.</w:t>
      </w:r>
    </w:p>
    <w:p>
      <w:pPr>
        <w:pStyle w:val="ListBullet"/>
      </w:pPr>
      <w:r>
        <w:t>Cloud hosting/infrastructure setup, including DR/COOP testing.</w:t>
      </w:r>
    </w:p>
    <w:p>
      <w:pPr>
        <w:pStyle w:val="ListBullet"/>
      </w:pPr>
      <w:r>
        <w:t>Multi-factor authentication and identity-assurance controls per current OMB guidance.</w:t>
      </w:r>
    </w:p>
    <w:p>
      <w:pPr>
        <w:pStyle w:val="Heading3"/>
      </w:pPr>
      <w:r>
        <w:t>Out of Scope</w:t>
      </w:r>
    </w:p>
    <w:p>
      <w:pPr>
        <w:pStyle w:val="ListBullet"/>
      </w:pPr>
      <w:r>
        <w:t>Any FOPBA system outside the BenefitConnect enrollment portal.</w:t>
      </w:r>
    </w:p>
    <w:p>
      <w:pPr>
        <w:pStyle w:val="ListBullet"/>
      </w:pPr>
      <w:r>
        <w:t>Ongoing operations and maintenance beyond the Option Period, absent a separate follow-on Task Order.</w:t>
      </w:r>
    </w:p>
    <w:p>
      <w:pPr>
        <w:pStyle w:val="ListBullet"/>
      </w:pPr>
      <w:r>
        <w:t>Policy or eligibility-rules changes not directly required by the platform modernization.</w:t>
      </w:r>
    </w:p>
    <w:p>
      <w:pPr>
        <w:pStyle w:val="Heading2"/>
      </w:pPr>
      <w:r>
        <w:t>4. High-Level Requirements</w:t>
      </w:r>
    </w:p>
    <w:p>
      <w:pPr>
        <w:pStyle w:val="ListBullet"/>
      </w:pPr>
      <w:r>
        <w:t>Full Section 508/WCAG 2.1 AA conformance, independently verified by a government auditor.</w:t>
      </w:r>
    </w:p>
    <w:p>
      <w:pPr>
        <w:pStyle w:val="ListBullet"/>
      </w:pPr>
      <w:r>
        <w:t>The system must pass a Security Control Assessment and obtain ATO prior to Go-Live.</w:t>
      </w:r>
    </w:p>
    <w:p>
      <w:pPr>
        <w:pStyle w:val="ListBullet"/>
      </w:pPr>
      <w:r>
        <w:t>All Task Order staffing must be onshore (US-based) given the system's handling of applicant PII.</w:t>
      </w:r>
    </w:p>
    <w:p>
      <w:pPr>
        <w:pStyle w:val="ListBullet"/>
      </w:pPr>
      <w:r>
        <w:t>Legacy data migration must be validated at the field level prior to cutover.</w:t>
      </w:r>
    </w:p>
    <w:p>
      <w:pPr>
        <w:pStyle w:val="Heading2"/>
      </w:pPr>
      <w:r>
        <w:t>5. High-Level Risks</w:t>
      </w:r>
    </w:p>
    <w:p>
      <w:pPr>
        <w:pStyle w:val="ListBullet"/>
      </w:pPr>
      <w:r>
        <w:t>ATO assessment could surface a security finding that delays Milestone Gate 1 (RAIDD R-01).</w:t>
      </w:r>
    </w:p>
    <w:p>
      <w:pPr>
        <w:pStyle w:val="ListBullet"/>
      </w:pPr>
      <w:r>
        <w:t>Legacy applicant data has known formatting inconsistencies complicating migration validation.</w:t>
      </w:r>
    </w:p>
    <w:p>
      <w:pPr>
        <w:pStyle w:val="ListBullet"/>
      </w:pPr>
      <w:r>
        <w:t>The all-onshore staffing requirement limits surge capacity if a resource attrites mid-Option.</w:t>
      </w:r>
    </w:p>
    <w:p>
      <w:pPr>
        <w:pStyle w:val="ListBullet"/>
      </w:pPr>
      <w:r>
        <w:t>Contract modification growth could mask underlying scope creep if not actively tracked.</w:t>
      </w:r>
    </w:p>
    <w:p>
      <w:pPr>
        <w:pStyle w:val="Heading2"/>
      </w:pPr>
      <w:r>
        <w:t>6. Summary Milestone Schedule</w:t>
      </w:r>
    </w:p>
    <w:tbl>
      <w:tblPr>
        <w:tblStyle w:val="LightGrid-Accent1"/>
        <w:tblW w:type="auto" w:w="0"/>
        <w:tblLook w:firstColumn="1" w:firstRow="1" w:lastColumn="0" w:lastRow="0" w:noHBand="0" w:noVBand="1" w:val="04A0"/>
      </w:tblPr>
      <w:tblGrid>
        <w:gridCol w:w="4320"/>
        <w:gridCol w:w="4320"/>
      </w:tblGrid>
      <w:tr>
        <w:tc>
          <w:tcPr>
            <w:tcW w:type="dxa" w:w="4320"/>
          </w:tcPr>
          <w:p>
            <w:r>
              <w:rPr>
                <w:b/>
              </w:rPr>
              <w:t>Milestone</w:t>
            </w:r>
          </w:p>
        </w:tc>
        <w:tc>
          <w:tcPr>
            <w:tcW w:type="dxa" w:w="4320"/>
          </w:tcPr>
          <w:p>
            <w:r>
              <w:rPr>
                <w:b/>
              </w:rPr>
              <w:t>Target Date</w:t>
            </w:r>
          </w:p>
        </w:tc>
      </w:tr>
      <w:tr>
        <w:tc>
          <w:tcPr>
            <w:tcW w:type="dxa" w:w="4320"/>
          </w:tcPr>
          <w:p>
            <w:r>
              <w:t>Task Order Kickoff</w:t>
            </w:r>
          </w:p>
        </w:tc>
        <w:tc>
          <w:tcPr>
            <w:tcW w:type="dxa" w:w="4320"/>
          </w:tcPr>
          <w:p>
            <w:r>
              <w:t>18 May 2026</w:t>
            </w:r>
          </w:p>
        </w:tc>
      </w:tr>
      <w:tr>
        <w:tc>
          <w:tcPr>
            <w:tcW w:type="dxa" w:w="4320"/>
          </w:tcPr>
          <w:p>
            <w:r>
              <w:t>PMP + IMS Baseline (CDRL A001/A002)</w:t>
            </w:r>
          </w:p>
        </w:tc>
        <w:tc>
          <w:tcPr>
            <w:tcW w:type="dxa" w:w="4320"/>
          </w:tcPr>
          <w:p>
            <w:r>
              <w:t>Month 1</w:t>
            </w:r>
          </w:p>
        </w:tc>
      </w:tr>
      <w:tr>
        <w:tc>
          <w:tcPr>
            <w:tcW w:type="dxa" w:w="4320"/>
          </w:tcPr>
          <w:p>
            <w:r>
              <w:t>Section 508 Test Plan (CDRL A004)</w:t>
            </w:r>
          </w:p>
        </w:tc>
        <w:tc>
          <w:tcPr>
            <w:tcW w:type="dxa" w:w="4320"/>
          </w:tcPr>
          <w:p>
            <w:r>
              <w:t>Month 2</w:t>
            </w:r>
          </w:p>
        </w:tc>
      </w:tr>
      <w:tr>
        <w:tc>
          <w:tcPr>
            <w:tcW w:type="dxa" w:w="4320"/>
          </w:tcPr>
          <w:p>
            <w:r>
              <w:t>System Security Plan (CDRL A005)</w:t>
            </w:r>
          </w:p>
        </w:tc>
        <w:tc>
          <w:tcPr>
            <w:tcW w:type="dxa" w:w="4320"/>
          </w:tcPr>
          <w:p>
            <w:r>
              <w:t>Month 3</w:t>
            </w:r>
          </w:p>
        </w:tc>
      </w:tr>
      <w:tr>
        <w:tc>
          <w:tcPr>
            <w:tcW w:type="dxa" w:w="4320"/>
          </w:tcPr>
          <w:p>
            <w:r>
              <w:t>Section 508 / VPAT Testing (CDRL A006)</w:t>
            </w:r>
          </w:p>
        </w:tc>
        <w:tc>
          <w:tcPr>
            <w:tcW w:type="dxa" w:w="4320"/>
          </w:tcPr>
          <w:p>
            <w:r>
              <w:t>Month 6</w:t>
            </w:r>
          </w:p>
        </w:tc>
      </w:tr>
      <w:tr>
        <w:tc>
          <w:tcPr>
            <w:tcW w:type="dxa" w:w="4320"/>
          </w:tcPr>
          <w:p>
            <w:r>
              <w:t>ATO Milestone Gate (CDRL A007)</w:t>
            </w:r>
          </w:p>
        </w:tc>
        <w:tc>
          <w:tcPr>
            <w:tcW w:type="dxa" w:w="4320"/>
          </w:tcPr>
          <w:p>
            <w:r>
              <w:t>Month 7</w:t>
            </w:r>
          </w:p>
        </w:tc>
      </w:tr>
      <w:tr>
        <w:tc>
          <w:tcPr>
            <w:tcW w:type="dxa" w:w="4320"/>
          </w:tcPr>
          <w:p>
            <w:r>
              <w:t>Production Go-Live</w:t>
            </w:r>
          </w:p>
        </w:tc>
        <w:tc>
          <w:tcPr>
            <w:tcW w:type="dxa" w:w="4320"/>
          </w:tcPr>
          <w:p>
            <w:r>
              <w:t>Month 8</w:t>
            </w:r>
          </w:p>
        </w:tc>
      </w:tr>
      <w:tr>
        <w:tc>
          <w:tcPr>
            <w:tcW w:type="dxa" w:w="4320"/>
          </w:tcPr>
          <w:p>
            <w:r>
              <w:t>Option Period Decision</w:t>
            </w:r>
          </w:p>
        </w:tc>
        <w:tc>
          <w:tcPr>
            <w:tcW w:type="dxa" w:w="4320"/>
          </w:tcPr>
          <w:p>
            <w:r>
              <w:t>Month 12</w:t>
            </w:r>
          </w:p>
        </w:tc>
      </w:tr>
      <w:tr>
        <w:tc>
          <w:tcPr>
            <w:tcW w:type="dxa" w:w="4320"/>
          </w:tcPr>
          <w:p>
            <w:r>
              <w:t>Task Order Closeout</w:t>
            </w:r>
          </w:p>
        </w:tc>
        <w:tc>
          <w:tcPr>
            <w:tcW w:type="dxa" w:w="4320"/>
          </w:tcPr>
          <w:p>
            <w:r>
              <w:t>Month 18</w:t>
            </w:r>
          </w:p>
        </w:tc>
      </w:tr>
    </w:tbl>
    <w:p/>
    <w:p>
      <w:pPr>
        <w:pStyle w:val="Heading2"/>
      </w:pPr>
      <w:r>
        <w:t>7. Summary Budget</w:t>
      </w:r>
    </w:p>
    <w:tbl>
      <w:tblPr>
        <w:tblStyle w:val="LightGrid-Accent1"/>
        <w:tblW w:type="auto" w:w="0"/>
        <w:tblLook w:firstColumn="1" w:firstRow="1" w:lastColumn="0" w:lastRow="0" w:noHBand="0" w:noVBand="1" w:val="04A0"/>
      </w:tblPr>
      <w:tblGrid>
        <w:gridCol w:w="4320"/>
        <w:gridCol w:w="4320"/>
      </w:tblGrid>
      <w:tr>
        <w:tc>
          <w:tcPr>
            <w:tcW w:type="dxa" w:w="4320"/>
          </w:tcPr>
          <w:p>
            <w:r>
              <w:rPr>
                <w:b/>
              </w:rPr>
              <w:t>Category</w:t>
            </w:r>
          </w:p>
        </w:tc>
        <w:tc>
          <w:tcPr>
            <w:tcW w:type="dxa" w:w="4320"/>
          </w:tcPr>
          <w:p>
            <w:r>
              <w:rPr>
                <w:b/>
              </w:rPr>
              <w:t>Amount</w:t>
            </w:r>
          </w:p>
        </w:tc>
      </w:tr>
      <w:tr>
        <w:tc>
          <w:tcPr>
            <w:tcW w:type="dxa" w:w="4320"/>
          </w:tcPr>
          <w:p>
            <w:r>
              <w:t>Labor — Delivery Team (13 named resources)</w:t>
            </w:r>
          </w:p>
        </w:tc>
        <w:tc>
          <w:tcPr>
            <w:tcW w:type="dxa" w:w="4320"/>
          </w:tcPr>
          <w:p>
            <w:r>
              <w:t>$3,070,000</w:t>
            </w:r>
          </w:p>
        </w:tc>
      </w:tr>
      <w:tr>
        <w:tc>
          <w:tcPr>
            <w:tcW w:type="dxa" w:w="4320"/>
          </w:tcPr>
          <w:p>
            <w:r>
              <w:t>Independent Section 508 Audit</w:t>
            </w:r>
          </w:p>
        </w:tc>
        <w:tc>
          <w:tcPr>
            <w:tcW w:type="dxa" w:w="4320"/>
          </w:tcPr>
          <w:p>
            <w:r>
              <w:t>$85,000</w:t>
            </w:r>
          </w:p>
        </w:tc>
      </w:tr>
      <w:tr>
        <w:tc>
          <w:tcPr>
            <w:tcW w:type="dxa" w:w="4320"/>
          </w:tcPr>
          <w:p>
            <w:r>
              <w:t>Third-Party Security Assessment (SCA) &amp; Identity Assurance (MFA)</w:t>
            </w:r>
          </w:p>
        </w:tc>
        <w:tc>
          <w:tcPr>
            <w:tcW w:type="dxa" w:w="4320"/>
          </w:tcPr>
          <w:p>
            <w:r>
              <w:t>$110,000</w:t>
            </w:r>
          </w:p>
        </w:tc>
      </w:tr>
      <w:tr>
        <w:tc>
          <w:tcPr>
            <w:tcW w:type="dxa" w:w="4320"/>
          </w:tcPr>
          <w:p>
            <w:r>
              <w:t>Cloud Hosting / Infrastructure</w:t>
            </w:r>
          </w:p>
        </w:tc>
        <w:tc>
          <w:tcPr>
            <w:tcW w:type="dxa" w:w="4320"/>
          </w:tcPr>
          <w:p>
            <w:r>
              <w:t>$225,000</w:t>
            </w:r>
          </w:p>
        </w:tc>
      </w:tr>
      <w:tr>
        <w:tc>
          <w:tcPr>
            <w:tcW w:type="dxa" w:w="4320"/>
          </w:tcPr>
          <w:p>
            <w:r>
              <w:t>Data Migration Tooling</w:t>
            </w:r>
          </w:p>
        </w:tc>
        <w:tc>
          <w:tcPr>
            <w:tcW w:type="dxa" w:w="4320"/>
          </w:tcPr>
          <w:p>
            <w:r>
              <w:t>$60,000</w:t>
            </w:r>
          </w:p>
        </w:tc>
      </w:tr>
      <w:tr>
        <w:tc>
          <w:tcPr>
            <w:tcW w:type="dxa" w:w="4320"/>
          </w:tcPr>
          <w:p>
            <w:r>
              <w:t>TOTAL AUTHORIZED FIRM-FIXED PRICE (BASELINE)</w:t>
            </w:r>
          </w:p>
        </w:tc>
        <w:tc>
          <w:tcPr>
            <w:tcW w:type="dxa" w:w="4320"/>
          </w:tcPr>
          <w:p>
            <w:r>
              <w:t>$3,550,000</w:t>
            </w:r>
          </w:p>
        </w:tc>
      </w:tr>
    </w:tbl>
    <w:p/>
    <w:p>
      <w:r>
        <w:t>This is the original baseline authorized at Charter approval. See the Task Order Budget for the current, mod-adjusted value ($3,664,000 after 10 approved modifications).</w:t>
      </w:r>
    </w:p>
    <w:p>
      <w:pPr>
        <w:pStyle w:val="Heading2"/>
      </w:pPr>
      <w:r>
        <w:t>8. Key Stakeholders</w:t>
      </w:r>
    </w:p>
    <w:tbl>
      <w:tblPr>
        <w:tblStyle w:val="LightGrid-Accent1"/>
        <w:tblW w:type="auto" w:w="0"/>
        <w:tblLook w:firstColumn="1" w:firstRow="1" w:lastColumn="0" w:lastRow="0" w:noHBand="0" w:noVBand="1" w:val="04A0"/>
      </w:tblPr>
      <w:tblGrid>
        <w:gridCol w:w="4320"/>
        <w:gridCol w:w="4320"/>
      </w:tblGrid>
      <w:tr>
        <w:tc>
          <w:tcPr>
            <w:tcW w:type="dxa" w:w="4320"/>
          </w:tcPr>
          <w:p>
            <w:r>
              <w:rPr>
                <w:b/>
              </w:rPr>
              <w:t>Name</w:t>
            </w:r>
          </w:p>
        </w:tc>
        <w:tc>
          <w:tcPr>
            <w:tcW w:type="dxa" w:w="4320"/>
          </w:tcPr>
          <w:p>
            <w:r>
              <w:rPr>
                <w:b/>
              </w:rPr>
              <w:t>Role</w:t>
            </w:r>
          </w:p>
        </w:tc>
      </w:tr>
      <w:tr>
        <w:tc>
          <w:tcPr>
            <w:tcW w:type="dxa" w:w="4320"/>
          </w:tcPr>
          <w:p>
            <w:r>
              <w:t>R. Osei</w:t>
            </w:r>
          </w:p>
        </w:tc>
        <w:tc>
          <w:tcPr>
            <w:tcW w:type="dxa" w:w="4320"/>
          </w:tcPr>
          <w:p>
            <w:r>
              <w:t>Program Sponsor, FOPBA</w:t>
            </w:r>
          </w:p>
        </w:tc>
      </w:tr>
      <w:tr>
        <w:tc>
          <w:tcPr>
            <w:tcW w:type="dxa" w:w="4320"/>
          </w:tcPr>
          <w:p>
            <w:r>
              <w:t>M. Whitcombe</w:t>
            </w:r>
          </w:p>
        </w:tc>
        <w:tc>
          <w:tcPr>
            <w:tcW w:type="dxa" w:w="4320"/>
          </w:tcPr>
          <w:p>
            <w:r>
              <w:t>Contracting Officer's Representative (COR)</w:t>
            </w:r>
          </w:p>
        </w:tc>
      </w:tr>
      <w:tr>
        <w:tc>
          <w:tcPr>
            <w:tcW w:type="dxa" w:w="4320"/>
          </w:tcPr>
          <w:p>
            <w:r>
              <w:t>A. Reyes</w:t>
            </w:r>
          </w:p>
        </w:tc>
        <w:tc>
          <w:tcPr>
            <w:tcW w:type="dxa" w:w="4320"/>
          </w:tcPr>
          <w:p>
            <w:r>
              <w:t>Contracting Officer (CO)</w:t>
            </w:r>
          </w:p>
        </w:tc>
      </w:tr>
      <w:tr>
        <w:tc>
          <w:tcPr>
            <w:tcW w:type="dxa" w:w="4320"/>
          </w:tcPr>
          <w:p>
            <w:r>
              <w:t>T. Abernathy</w:t>
            </w:r>
          </w:p>
        </w:tc>
        <w:tc>
          <w:tcPr>
            <w:tcW w:type="dxa" w:w="4320"/>
          </w:tcPr>
          <w:p>
            <w:r>
              <w:t>Information System Security Officer (ISSO)</w:t>
            </w:r>
          </w:p>
        </w:tc>
      </w:tr>
      <w:tr>
        <w:tc>
          <w:tcPr>
            <w:tcW w:type="dxa" w:w="4320"/>
          </w:tcPr>
          <w:p>
            <w:r>
              <w:t>D. Ferris</w:t>
            </w:r>
          </w:p>
        </w:tc>
        <w:tc>
          <w:tcPr>
            <w:tcW w:type="dxa" w:w="4320"/>
          </w:tcPr>
          <w:p>
            <w:r>
              <w:t>Deputy Task Order PM</w:t>
            </w:r>
          </w:p>
        </w:tc>
      </w:tr>
      <w:tr>
        <w:tc>
          <w:tcPr>
            <w:tcW w:type="dxa" w:w="4320"/>
          </w:tcPr>
          <w:p>
            <w:r>
              <w:t>C. Tyrrell</w:t>
            </w:r>
          </w:p>
        </w:tc>
        <w:tc>
          <w:tcPr>
            <w:tcW w:type="dxa" w:w="4320"/>
          </w:tcPr>
          <w:p>
            <w:r>
              <w:t>Task Order PM</w:t>
            </w:r>
          </w:p>
        </w:tc>
      </w:tr>
    </w:tbl>
    <w:p/>
    <w:p>
      <w:pPr>
        <w:pStyle w:val="Heading2"/>
      </w:pPr>
      <w:r>
        <w:t>9. Task Order PM Authority</w:t>
      </w:r>
    </w:p>
    <w:p>
      <w:r>
        <w:t>C. Tyrrell is hereby authorized to apply organizational resources to Task Order activities, manage the approved budget within the FFP baseline, and approve task-level schedule adjustments that do not affect a CDRL due date or Milestone Gate. Changes to scope, price, or a CDRL-mandated deliverable require a formal Contract Modification approved by the Contracting Officer.</w:t>
      </w:r>
    </w:p>
    <w:p>
      <w:pPr>
        <w:pStyle w:val="Heading2"/>
      </w:pPr>
      <w:r>
        <w:t>10. Assumptions &amp; Constraints</w:t>
      </w:r>
    </w:p>
    <w:p>
      <w:pPr>
        <w:pStyle w:val="ListBullet"/>
      </w:pPr>
      <w:r>
        <w:t>FOPBA will provide legacy system read access within 15 days of Task Order start.</w:t>
      </w:r>
    </w:p>
    <w:p>
      <w:pPr>
        <w:pStyle w:val="ListBullet"/>
      </w:pPr>
      <w:r>
        <w:t>The Option Period will be exercised based on satisfactory Base Period performance.</w:t>
      </w:r>
    </w:p>
    <w:p>
      <w:pPr>
        <w:pStyle w:val="ListBullet"/>
      </w:pPr>
      <w:r>
        <w:t>No additional offshore staffing will be authorized at any point during the Option Period.</w:t>
      </w:r>
    </w:p>
    <w:p>
      <w:pPr>
        <w:pStyle w:val="ListBullet"/>
      </w:pPr>
      <w:r>
        <w:t>FOPBA's existing network and security infrastructure is sufficient without separate capital investment.</w:t>
      </w:r>
    </w:p>
    <w:p>
      <w:pPr>
        <w:pStyle w:val="Heading2"/>
      </w:pPr>
      <w:r>
        <w:t>11. Approval</w:t>
      </w:r>
    </w:p>
    <w:p>
      <w:r>
        <w:t>This charter authorizes the Task Order PM to proceed with planning and execution as described above.</w:t>
      </w:r>
    </w:p>
    <w:p>
      <w:r>
        <w:t>____________________________</w:t>
      </w:r>
    </w:p>
    <w:p>
      <w:r>
        <w:t>R. Osei, Program Sponsor, FOPBA</w:t>
      </w:r>
    </w:p>
    <w:p>
      <w:r>
        <w:t>____________________________</w:t>
      </w:r>
    </w:p>
    <w:p>
      <w:r>
        <w:t>A. Reyes, Contracting Officer (CO)</w:t>
      </w:r>
    </w:p>
    <w:p>
      <w:r>
        <w:t>____________________________</w:t>
      </w:r>
    </w:p>
    <w:p>
      <w:r>
        <w:t>C. Tyrrell, Task Order PM</w:t>
      </w:r>
    </w:p>
    <w:p>
      <w:r>
        <w:rPr>
          <w:i/>
        </w:rPr>
        <w:t>Illustrative program data — created to demonstrate federal task-order management practice, not a real government engagement.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