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Program Governance Model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Decision rights and escalation</w:t>
      </w:r>
    </w:p>
    <w:p>
      <w:pPr>
        <w:pStyle w:val="Heading2"/>
        <w:spacing w:after="120" w:before="300"/>
      </w:pPr>
      <w:r>
        <w:rPr>
          <w:b/>
          <w:bCs/>
        </w:rPr>
        <w:t xml:space="preserve">Decision Rights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  <w:tc>
          <w:tcPr>
            <w:tcW w:type="dxa" w:w="55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Authority</w:t>
            </w:r>
          </w:p>
        </w:tc>
      </w:tr>
      <w:tr>
        <w:tc>
          <w:tcPr>
            <w:tcW w:type="dxa" w:w="3500"/>
          </w:tcPr>
          <w:p>
            <w:r>
              <w:rPr>
                <w:sz w:val="18"/>
                <w:szCs w:val="18"/>
              </w:rPr>
              <w:t xml:space="preserve">CDRL deliverable acceptance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M. Whitcombe (COR) reviews; formal acceptance recorded by COR</w:t>
            </w:r>
          </w:p>
        </w:tc>
      </w:tr>
      <w:tr>
        <w:tc>
          <w:tcPr>
            <w:tcW w:type="dxa" w:w="3500"/>
          </w:tcPr>
          <w:p>
            <w:r>
              <w:rPr>
                <w:sz w:val="18"/>
                <w:szCs w:val="18"/>
              </w:rPr>
              <w:t xml:space="preserve">Contract modifications (scope/cost/schedule)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A. Reyes (CO) only — sole legal authority to bind the contract</w:t>
            </w:r>
          </w:p>
        </w:tc>
      </w:tr>
      <w:tr>
        <w:tc>
          <w:tcPr>
            <w:tcW w:type="dxa" w:w="3500"/>
          </w:tcPr>
          <w:p>
            <w:r>
              <w:rPr>
                <w:sz w:val="18"/>
                <w:szCs w:val="18"/>
              </w:rPr>
              <w:t xml:space="preserve">Technical architecture decisions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K. Lindqvist, with COR informed for anything touching security or 508 posture</w:t>
            </w:r>
          </w:p>
        </w:tc>
      </w:tr>
      <w:tr>
        <w:tc>
          <w:tcPr>
            <w:tcW w:type="dxa" w:w="3500"/>
          </w:tcPr>
          <w:p>
            <w:r>
              <w:rPr>
                <w:sz w:val="18"/>
                <w:szCs w:val="18"/>
              </w:rPr>
              <w:t xml:space="preserve">ATO / go-live authorization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Agency Authorizing Official, based on ISSO-submitted security package</w:t>
            </w:r>
          </w:p>
        </w:tc>
      </w:tr>
      <w:tr>
        <w:tc>
          <w:tcPr>
            <w:tcW w:type="dxa" w:w="3500"/>
          </w:tcPr>
          <w:p>
            <w:r>
              <w:rPr>
                <w:sz w:val="18"/>
                <w:szCs w:val="18"/>
              </w:rPr>
              <w:t xml:space="preserve">Day-to-day delivery management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C. Tyrrell (Task Order PM), fully within Acme Federal Systems' chain</w:t>
            </w:r>
          </w:p>
        </w:tc>
      </w:tr>
      <w:tr>
        <w:tc>
          <w:tcPr>
            <w:tcW w:type="dxa" w:w="3500"/>
          </w:tcPr>
          <w:p>
            <w:r>
              <w:rPr>
                <w:sz w:val="18"/>
                <w:szCs w:val="18"/>
              </w:rPr>
              <w:t xml:space="preserve">Program funding / budget changes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A. Reyes (CO), via formal contract mod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</w:rPr>
        <w:t xml:space="preserve">Escalation Path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Issue Type</w:t>
            </w:r>
          </w:p>
        </w:tc>
        <w:tc>
          <w:tcPr>
            <w:tcW w:type="dxa" w:w="55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Path</w:t>
            </w:r>
          </w:p>
        </w:tc>
      </w:tr>
      <w:tr>
        <w:tc>
          <w:tcPr>
            <w:tcW w:type="dxa" w:w="3500"/>
          </w:tcPr>
          <w:p>
            <w:r>
              <w:rPr>
                <w:sz w:val="18"/>
                <w:szCs w:val="18"/>
              </w:rPr>
              <w:t xml:space="preserve">Delivery-level issue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C. Tyrrell -&gt; D. Ferris / functional leads</w:t>
            </w:r>
          </w:p>
        </w:tc>
      </w:tr>
      <w:tr>
        <w:tc>
          <w:tcPr>
            <w:tcW w:type="dxa" w:w="3500"/>
          </w:tcPr>
          <w:p>
            <w:r>
              <w:rPr>
                <w:sz w:val="18"/>
                <w:szCs w:val="18"/>
              </w:rPr>
              <w:t xml:space="preserve">Government coordination issue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C. Tyrrell -&gt; M. Whitcombe (COR)</w:t>
            </w:r>
          </w:p>
        </w:tc>
      </w:tr>
      <w:tr>
        <w:tc>
          <w:tcPr>
            <w:tcW w:type="dxa" w:w="3500"/>
          </w:tcPr>
          <w:p>
            <w:r>
              <w:rPr>
                <w:sz w:val="18"/>
                <w:szCs w:val="18"/>
              </w:rPr>
              <w:t xml:space="preserve">Contractual dispute or scope disagreement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C. Tyrrell -&gt; M. Whitcombe -&gt; A. Reyes (CO) — formal, in writing</w:t>
            </w:r>
          </w:p>
        </w:tc>
      </w:tr>
      <w:tr>
        <w:tc>
          <w:tcPr>
            <w:tcW w:type="dxa" w:w="3500"/>
          </w:tcPr>
          <w:p>
            <w:r>
              <w:rPr>
                <w:sz w:val="18"/>
                <w:szCs w:val="18"/>
              </w:rPr>
              <w:t xml:space="preserve">Security finding blocking ATO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T. Abernathy -&gt; M. Whitcombe -&gt; Authorizing Official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2026-07-14T11:45:23.594Z</dcterms:created>
  <dcterms:modified xsi:type="dcterms:W3CDTF">2026-07-14T11:45:23.594Z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