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Task Order Kickoff Meeting Notes</w:t>
      </w:r>
    </w:p>
    <w:p>
      <w:r>
        <w:rPr>
          <w:b/>
        </w:rPr>
        <w:t>BenefitConnect Portal Modernization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Date</w:t>
            </w:r>
          </w:p>
        </w:tc>
        <w:tc>
          <w:tcPr>
            <w:tcW w:type="dxa" w:w="1728"/>
          </w:tcPr>
          <w:p>
            <w:r>
              <w:t>Time</w:t>
            </w:r>
          </w:p>
        </w:tc>
        <w:tc>
          <w:tcPr>
            <w:tcW w:type="dxa" w:w="1728"/>
          </w:tcPr>
          <w:p>
            <w:r>
              <w:t>Location</w:t>
            </w:r>
          </w:p>
        </w:tc>
        <w:tc>
          <w:tcPr>
            <w:tcW w:type="dxa" w:w="1728"/>
          </w:tcPr>
          <w:p>
            <w:r>
              <w:t>Facilitator</w:t>
            </w:r>
          </w:p>
        </w:tc>
        <w:tc>
          <w:tcPr>
            <w:tcW w:type="dxa" w:w="1728"/>
          </w:tcPr>
          <w:p>
            <w:r>
              <w:t>Milestone</w:t>
            </w:r>
          </w:p>
        </w:tc>
      </w:tr>
      <w:tr>
        <w:tc>
          <w:tcPr>
            <w:tcW w:type="dxa" w:w="1728"/>
          </w:tcPr>
          <w:p>
            <w:r>
              <w:t>May 18, 2026</w:t>
            </w:r>
          </w:p>
        </w:tc>
        <w:tc>
          <w:tcPr>
            <w:tcW w:type="dxa" w:w="1728"/>
          </w:tcPr>
          <w:p>
            <w:r>
              <w:t>9:00-10:30 AM ET</w:t>
            </w:r>
          </w:p>
        </w:tc>
        <w:tc>
          <w:tcPr>
            <w:tcW w:type="dxa" w:w="1728"/>
          </w:tcPr>
          <w:p>
            <w:r>
              <w:t>FOPBA Program Office + Video Bridge</w:t>
            </w:r>
          </w:p>
        </w:tc>
        <w:tc>
          <w:tcPr>
            <w:tcW w:type="dxa" w:w="1728"/>
          </w:tcPr>
          <w:p>
            <w:r>
              <w:t>C. Tyrrell</w:t>
            </w:r>
          </w:p>
        </w:tc>
        <w:tc>
          <w:tcPr>
            <w:tcW w:type="dxa" w:w="1728"/>
          </w:tcPr>
          <w:p>
            <w:r>
              <w:t>Task Order Day 1</w:t>
            </w:r>
          </w:p>
        </w:tc>
      </w:tr>
    </w:tbl>
    <w:p>
      <w:pPr>
        <w:pStyle w:val="Heading2"/>
      </w:pPr>
      <w:r>
        <w:t>Attendees</w:t>
      </w:r>
    </w:p>
    <w:p>
      <w:pPr>
        <w:pStyle w:val="ListBullet"/>
      </w:pPr>
      <w:r>
        <w:t>C. Tyrrell — Task Order PM</w:t>
      </w:r>
    </w:p>
    <w:p>
      <w:pPr>
        <w:pStyle w:val="ListBullet"/>
      </w:pPr>
      <w:r>
        <w:t>R. Osei — Program Sponsor, FOPBA</w:t>
      </w:r>
    </w:p>
    <w:p>
      <w:pPr>
        <w:pStyle w:val="ListBullet"/>
      </w:pPr>
      <w:r>
        <w:t>M. Whitcombe — Contracting Officer's Representative (COR)</w:t>
      </w:r>
    </w:p>
    <w:p>
      <w:pPr>
        <w:pStyle w:val="ListBullet"/>
      </w:pPr>
      <w:r>
        <w:t>A. Reyes — Contracting Officer (CO)</w:t>
      </w:r>
    </w:p>
    <w:p>
      <w:pPr>
        <w:pStyle w:val="ListBullet"/>
      </w:pPr>
      <w:r>
        <w:t>D. Ferris — Deputy Task Order PM</w:t>
      </w:r>
    </w:p>
    <w:p>
      <w:pPr>
        <w:pStyle w:val="ListBullet"/>
      </w:pPr>
      <w:r>
        <w:t>T. Abernathy — Information System Security Officer (ISSO)</w:t>
      </w:r>
    </w:p>
    <w:p>
      <w:pPr>
        <w:pStyle w:val="ListBullet"/>
      </w:pPr>
      <w:r>
        <w:t>P. Duvall — Section 508 Lead</w:t>
      </w:r>
    </w:p>
    <w:p>
      <w:pPr>
        <w:pStyle w:val="ListBullet"/>
      </w:pPr>
      <w:r>
        <w:t>K. Lindqvist — Solutions Architect</w:t>
      </w:r>
    </w:p>
    <w:p>
      <w:pPr>
        <w:pStyle w:val="Heading2"/>
      </w:pPr>
      <w:r>
        <w:t>Purpose</w:t>
      </w:r>
    </w:p>
    <w:p>
      <w:r>
        <w:t>Align Acme Federal Systems' delivery team and FOPBA's Program Office on Task Order scope, the ATO and Section 508 compliance strategy, and working cadence before requirements work begins.</w:t>
      </w:r>
    </w:p>
    <w:p>
      <w:pPr>
        <w:pStyle w:val="Heading2"/>
      </w:pPr>
      <w:r>
        <w:t>Agenda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Time</w:t>
            </w:r>
          </w:p>
        </w:tc>
        <w:tc>
          <w:tcPr>
            <w:tcW w:type="dxa" w:w="2880"/>
          </w:tcPr>
          <w:p>
            <w:r>
              <w:t>Topic</w:t>
            </w:r>
          </w:p>
        </w:tc>
        <w:tc>
          <w:tcPr>
            <w:tcW w:type="dxa" w:w="2880"/>
          </w:tcPr>
          <w:p>
            <w:r>
              <w:t>Led By</w:t>
            </w:r>
          </w:p>
        </w:tc>
      </w:tr>
      <w:tr>
        <w:tc>
          <w:tcPr>
            <w:tcW w:type="dxa" w:w="2880"/>
          </w:tcPr>
          <w:p>
            <w:r>
              <w:t>9:00-9:10</w:t>
            </w:r>
          </w:p>
        </w:tc>
        <w:tc>
          <w:tcPr>
            <w:tcW w:type="dxa" w:w="2880"/>
          </w:tcPr>
          <w:p>
            <w:r>
              <w:t>Welcome &amp; Task Order context</w:t>
            </w:r>
          </w:p>
        </w:tc>
        <w:tc>
          <w:tcPr>
            <w:tcW w:type="dxa" w:w="2880"/>
          </w:tcPr>
          <w:p>
            <w:r>
              <w:t>R. Osei</w:t>
            </w:r>
          </w:p>
        </w:tc>
      </w:tr>
      <w:tr>
        <w:tc>
          <w:tcPr>
            <w:tcW w:type="dxa" w:w="2880"/>
          </w:tcPr>
          <w:p>
            <w:r>
              <w:t>9:10-9:25</w:t>
            </w:r>
          </w:p>
        </w:tc>
        <w:tc>
          <w:tcPr>
            <w:tcW w:type="dxa" w:w="2880"/>
          </w:tcPr>
          <w:p>
            <w:r>
              <w:t>Task Order Charter walkthrough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  <w:tr>
        <w:tc>
          <w:tcPr>
            <w:tcW w:type="dxa" w:w="2880"/>
          </w:tcPr>
          <w:p>
            <w:r>
              <w:t>9:25-9:40</w:t>
            </w:r>
          </w:p>
        </w:tc>
        <w:tc>
          <w:tcPr>
            <w:tcW w:type="dxa" w:w="2880"/>
          </w:tcPr>
          <w:p>
            <w:r>
              <w:t>PWS and CDRL schedule overview</w:t>
            </w:r>
          </w:p>
        </w:tc>
        <w:tc>
          <w:tcPr>
            <w:tcW w:type="dxa" w:w="2880"/>
          </w:tcPr>
          <w:p>
            <w:r>
              <w:t>M. Whitcombe</w:t>
            </w:r>
          </w:p>
        </w:tc>
      </w:tr>
      <w:tr>
        <w:tc>
          <w:tcPr>
            <w:tcW w:type="dxa" w:w="2880"/>
          </w:tcPr>
          <w:p>
            <w:r>
              <w:t>9:40-9:55</w:t>
            </w:r>
          </w:p>
        </w:tc>
        <w:tc>
          <w:tcPr>
            <w:tcW w:type="dxa" w:w="2880"/>
          </w:tcPr>
          <w:p>
            <w:r>
              <w:t>ATO strategy and Section 508 compliance approach</w:t>
            </w:r>
          </w:p>
        </w:tc>
        <w:tc>
          <w:tcPr>
            <w:tcW w:type="dxa" w:w="2880"/>
          </w:tcPr>
          <w:p>
            <w:r>
              <w:t>T. Abernathy</w:t>
            </w:r>
          </w:p>
        </w:tc>
      </w:tr>
      <w:tr>
        <w:tc>
          <w:tcPr>
            <w:tcW w:type="dxa" w:w="2880"/>
          </w:tcPr>
          <w:p>
            <w:r>
              <w:t>9:55-10:10</w:t>
            </w:r>
          </w:p>
        </w:tc>
        <w:tc>
          <w:tcPr>
            <w:tcW w:type="dxa" w:w="2880"/>
          </w:tcPr>
          <w:p>
            <w:r>
              <w:t>Legacy data migration and onshore staffing requirement</w:t>
            </w:r>
          </w:p>
        </w:tc>
        <w:tc>
          <w:tcPr>
            <w:tcW w:type="dxa" w:w="2880"/>
          </w:tcPr>
          <w:p>
            <w:r>
              <w:t>K. Lindqvist</w:t>
            </w:r>
          </w:p>
        </w:tc>
      </w:tr>
      <w:tr>
        <w:tc>
          <w:tcPr>
            <w:tcW w:type="dxa" w:w="2880"/>
          </w:tcPr>
          <w:p>
            <w:r>
              <w:t>10:10-10:20</w:t>
            </w:r>
          </w:p>
        </w:tc>
        <w:tc>
          <w:tcPr>
            <w:tcW w:type="dxa" w:w="2880"/>
          </w:tcPr>
          <w:p>
            <w:r>
              <w:t>Contract modification process &amp; QASP overview</w:t>
            </w:r>
          </w:p>
        </w:tc>
        <w:tc>
          <w:tcPr>
            <w:tcW w:type="dxa" w:w="2880"/>
          </w:tcPr>
          <w:p>
            <w:r>
              <w:t>A. Reyes</w:t>
            </w:r>
          </w:p>
        </w:tc>
      </w:tr>
      <w:tr>
        <w:tc>
          <w:tcPr>
            <w:tcW w:type="dxa" w:w="2880"/>
          </w:tcPr>
          <w:p>
            <w:r>
              <w:t>10:20-10:30</w:t>
            </w:r>
          </w:p>
        </w:tc>
        <w:tc>
          <w:tcPr>
            <w:tcW w:type="dxa" w:w="2880"/>
          </w:tcPr>
          <w:p>
            <w:r>
              <w:t>Open Q&amp;A, next steps</w:t>
            </w:r>
          </w:p>
        </w:tc>
        <w:tc>
          <w:tcPr>
            <w:tcW w:type="dxa" w:w="2880"/>
          </w:tcPr>
          <w:p>
            <w:r>
              <w:t>C. Tyrrell</w:t>
            </w:r>
          </w:p>
        </w:tc>
      </w:tr>
    </w:tbl>
    <w:p>
      <w:pPr>
        <w:pStyle w:val="Heading2"/>
      </w:pPr>
      <w:r>
        <w:t>Key Discussion Points</w:t>
      </w:r>
    </w:p>
    <w:p>
      <w:pPr>
        <w:pStyle w:val="ListBullet"/>
      </w:pPr>
      <w:r>
        <w:t>T. Abernathy raised that a single full ATO gate concentrated all schedule risk in one late event, proposing a pre-assessment scan well ahead of formal submission.</w:t>
      </w:r>
    </w:p>
    <w:p>
      <w:pPr>
        <w:pStyle w:val="ListBullet"/>
      </w:pPr>
      <w:r>
        <w:t>M. Whitcombe confirmed Section 508 testing would use an independent government auditor rather than contractor self-attestation.</w:t>
      </w:r>
    </w:p>
    <w:p>
      <w:pPr>
        <w:pStyle w:val="ListBullet"/>
      </w:pPr>
      <w:r>
        <w:t>K. Lindqvist flagged that the onshore-only staffing requirement would limit surge capacity if a resource attrited mid-Option-Period.</w:t>
      </w:r>
    </w:p>
    <w:p>
      <w:pPr>
        <w:pStyle w:val="ListBullet"/>
      </w:pPr>
      <w:r>
        <w:t>A. Reyes walked through the contract modification process, noting even $0-cost mods require the same formal CO approval.</w:t>
      </w:r>
    </w:p>
    <w:p>
      <w:pPr>
        <w:pStyle w:val="Heading2"/>
      </w:pPr>
      <w:r>
        <w:t>Decisions Made</w:t>
      </w:r>
    </w:p>
    <w:p>
      <w:r>
        <w:rPr>
          <w:b/>
        </w:rPr>
        <w:t xml:space="preserve">Decision 1: </w:t>
      </w:r>
      <w:r>
        <w:t>Section 508 testing will use an independent government auditor rather than contractor self-attestation.</w:t>
      </w:r>
    </w:p>
    <w:p>
      <w:r>
        <w:rPr>
          <w:b/>
        </w:rPr>
        <w:t xml:space="preserve">Decision 2: </w:t>
      </w:r>
      <w:r>
        <w:t>All Task Order staffing will be onshore (US-based), with no offshore substitution permitted.</w:t>
      </w:r>
    </w:p>
    <w:p>
      <w:r>
        <w:rPr>
          <w:b/>
        </w:rPr>
        <w:t xml:space="preserve">Decision 3: </w:t>
      </w:r>
      <w:r>
        <w:t>Weekly internal status cadence and monthly CDRL-mandated status reporting to the COR confirmed as the standing structure.</w:t>
      </w:r>
    </w:p>
    <w:p>
      <w:pPr>
        <w:pStyle w:val="Heading2"/>
      </w:pPr>
      <w:r>
        <w:t>Next Steps</w:t>
      </w:r>
    </w:p>
    <w:p>
      <w:pPr>
        <w:pStyle w:val="ListBullet"/>
      </w:pPr>
      <w:r>
        <w:t>PMP and IMS Baseline (CDRL A001/A002) due within Month 1.</w:t>
      </w:r>
    </w:p>
    <w:p>
      <w:pPr>
        <w:pStyle w:val="ListBullet"/>
      </w:pPr>
      <w:r>
        <w:t>Legacy system read-access request submitted to FOPBA IT.</w:t>
      </w:r>
    </w:p>
    <w:p>
      <w:pPr>
        <w:pStyle w:val="ListBullet"/>
      </w:pPr>
      <w:r>
        <w:t>Pre-assessment ATO scan planning begins immediately, well ahead of the Month 7 gate.</w:t>
      </w:r>
    </w:p>
    <w:p>
      <w:r>
        <w:rPr>
          <w:i/>
        </w:rPr>
        <w:t>Illustrative program data — created to demonstrate federal task-order management practice, not a real government engagement.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