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QASP — Quality Assurance Surveillance Plan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Government-owned surveillance plan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Unlike most artifacts in this suite, the QASP is written and owned by the government (COR), not the contractor — it defines how FOPBA will independently verify Acme Federal Systems is meeting the PWS, separate from the contractor's own QA process.</w:t>
      </w:r>
    </w:p>
    <w:p>
      <w:pPr>
        <w:pStyle w:val="Heading2"/>
        <w:spacing w:after="120" w:before="300"/>
      </w:pPr>
      <w:r>
        <w:rPr>
          <w:b/>
          <w:bCs/>
        </w:rPr>
        <w:t xml:space="preserve">Surveillance Methods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1800"/>
        <w:gridCol w:w="2200"/>
      </w:tblGrid>
      <w:tr>
        <w:tc>
          <w:tcPr>
            <w:tcW w:type="dxa" w:w="3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Deliverable / Service Area</w:t>
            </w:r>
          </w:p>
        </w:tc>
        <w:tc>
          <w:tcPr>
            <w:tcW w:type="dxa" w:w="2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Acceptable Quality Level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CDRL deliverable submissions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100% review against CDRL acceptance criteria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Per due date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No more than 1 rejection cycle per item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Section 508 conformance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Independent government accessibility audit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At each release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Zero Level A/AA violations at go-live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Monthly status reporting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COR review for completeness/timeliness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Monthly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Submitted by CDRL due date, no material omissions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System availability (post-launch)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Automated uptime monitoring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Continuous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99.5% monthly uptime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Help desk / defect response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Ticket log sampling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Monthly</w:t>
            </w:r>
          </w:p>
        </w:tc>
        <w:tc>
          <w:tcPr>
            <w:tcW w:type="dxa" w:w="2200"/>
          </w:tcPr>
          <w:p>
            <w:r>
              <w:rPr>
                <w:sz w:val="18"/>
                <w:szCs w:val="18"/>
              </w:rPr>
              <w:t xml:space="preserve">Priority 1 defects acknowledged within 4 business hours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Remedies for Unacceptable Performance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Repeated missed Acceptable Quality Levels are documented by the COR and reported to the CO, who may withhold payment, require a corrective action plan, or — in a sustained pattern — pursue contract remedies up to termination for cause.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2026-07-14T11:45:23.548Z</dcterms:created>
  <dcterms:modified xsi:type="dcterms:W3CDTF">2026-07-14T11:45:23.548Z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