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Performance Work Statement &amp; Task Order Authorization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· FOPBA · HSS-IDIQ Task Order 3 · Acme Federal Systems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00"/>
      </w:tblGrid>
      <w:tr>
        <w:tc>
          <w:tcPr>
            <w:tcW w:type="dxa" w:w="4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5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Contract Vehicle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Health Systems Support IDIQ (HSS-IDIQ)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Task Order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Task Order 3 — BenefitConnect Portal Modernization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Contract Type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Firm-Fixed-Price (FFP)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Issuing Agency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Federal Office of Public Benefits Administration (FOPBA)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Prime Contractor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Acme Federal Systems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Contracting Officer (CO)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A. Reyes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Contracting Officer's Representative (COR)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M. Whitcombe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Federal Business Owner / Sponsor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R. Osei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Task Order Program Manager (Contractor)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C. Tyrrell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1. Background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FOPBA's citizen-facing benefits application portal runs on a legacy platform that no longer meets current federal accessibility and security standards. This Task Order modernizes the portal to a current, Section 508-conformant platform while maintaining continuity of service for existing applicants.</w:t>
      </w:r>
    </w:p>
    <w:p>
      <w:pPr>
        <w:pStyle w:val="Heading2"/>
        <w:spacing w:after="120" w:before="300"/>
      </w:pPr>
      <w:r>
        <w:rPr>
          <w:b/>
          <w:bCs/>
        </w:rPr>
        <w:t xml:space="preserve">2. Scope of Work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Replatform the citizen-facing benefits application portal to a modern, accessible web application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Achieve and document Section 508 accessibility conformance (WCAG-aligned)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Obtain Authority to Operate (ATO) prior to production cutover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Migrate existing applicant data and in-flight applications without service interruption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 all contract data items per the CDRL on the schedule specified</w:t>
      </w:r>
    </w:p>
    <w:p>
      <w:pPr>
        <w:pStyle w:val="Heading2"/>
        <w:spacing w:after="120" w:before="300"/>
      </w:pPr>
      <w:r>
        <w:rPr>
          <w:b/>
          <w:bCs/>
        </w:rPr>
        <w:t xml:space="preserve">3. Period of Performance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00"/>
      </w:tblGrid>
      <w:tr>
        <w:tc>
          <w:tcPr>
            <w:tcW w:type="dxa" w:w="4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Period</w:t>
            </w:r>
          </w:p>
        </w:tc>
        <w:tc>
          <w:tcPr>
            <w:tcW w:type="dxa" w:w="5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Base Period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12 months</w:t>
            </w:r>
          </w:p>
        </w:tc>
      </w:tr>
      <w:tr>
        <w:tc>
          <w:tcPr>
            <w:tcW w:type="dxa" w:w="4000"/>
          </w:tcPr>
          <w:p>
            <w:r>
              <w:rPr>
                <w:sz w:val="18"/>
                <w:szCs w:val="18"/>
              </w:rPr>
              <w:t xml:space="preserve">Option Period</w:t>
            </w:r>
          </w:p>
        </w:tc>
        <w:tc>
          <w:tcPr>
            <w:tcW w:type="dxa" w:w="5000"/>
          </w:tcPr>
          <w:p>
            <w:r>
              <w:rPr>
                <w:sz w:val="18"/>
                <w:szCs w:val="18"/>
              </w:rPr>
              <w:t xml:space="preserve">1 x 6-month option (post-launch stabilization support)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4. Deliverables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All deliverables are enumerated with due dates and acceptance criteria in the CDRL — see the Contract Data Requirements List artifact in this suite.</w:t>
      </w:r>
    </w:p>
    <w:p>
      <w:pPr>
        <w:pStyle w:val="Heading2"/>
        <w:spacing w:after="120" w:before="300"/>
      </w:pPr>
      <w:r>
        <w:rPr>
          <w:b/>
          <w:bCs/>
        </w:rPr>
        <w:t xml:space="preserve">5. Applicable Federal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Federal Acquisition Regulation (FAR) clauses incorporated by reference in the Task Order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Section 508 of the Rehabilitation Act — accessibility conformance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Risk Management Framework (RMF) — security authorization prior to go-live (ATO)</w:t>
      </w:r>
    </w:p>
    <w:p>
      <w:pPr>
        <w:pStyle w:val="ListParagraph"/>
        <w:numPr>
          <w:ilvl w:val="0"/>
          <w:numId w:val="1"/>
        </w:numPr>
        <w:spacing w:after="60"/>
      </w:pPr>
      <w:r>
        <w:t>All delivery-team personnel handling applicant PII or supporting the ATO/RMF security authorization must be U.S. persons performing work onshore — no offshore staffing is permitted on this Task Order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2026-07-14T11:45:23.490Z</dcterms:created>
  <dcterms:modified xsi:type="dcterms:W3CDTF">2026-07-14T11:45:23.499Z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