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Resource-Loaded WBS</w:t>
      </w:r>
    </w:p>
    <w:p>
      <w:r>
        <w:rPr>
          <w:b w:val="0"/>
          <w:i w:val="0"/>
        </w:rPr>
        <w:t xml:space="preserve">This is the resource-loaded view of the Task Order's Work Breakdown Structure. Every work package carries its named effort and cost, every hour traces to a named person on the </w:t>
      </w:r>
      <w:r>
        <w:rPr>
          <w:b w:val="0"/>
          <w:i w:val="0"/>
        </w:rPr>
        <w:t>Resource Plan</w:t>
      </w:r>
      <w:r>
        <w:rPr>
          <w:b w:val="0"/>
          <w:i w:val="0"/>
        </w:rPr>
        <w:t xml:space="preserve">, and — because this is a federal task order — effort is split by </w:t>
      </w:r>
      <w:r>
        <w:rPr>
          <w:b/>
          <w:i w:val="0"/>
        </w:rPr>
        <w:t>contractual period</w:t>
      </w:r>
      <w:r>
        <w:rPr>
          <w:b w:val="0"/>
          <w:i w:val="0"/>
        </w:rPr>
        <w:t>: the 12-month Base Period and the 6-month Option Period are priced, funded and reported separately, so loading them as one undifferentiated pool would misrepresent the contract.</w:t>
      </w:r>
    </w:p>
    <w:p>
      <w:r>
        <w:rPr>
          <w:b w:val="0"/>
          <w:i w:val="0"/>
        </w:rPr>
        <w:t>225</w:t>
      </w:r>
      <w:r>
        <w:t xml:space="preserve"> </w:t>
      </w:r>
      <w:r>
        <w:rPr>
          <w:b w:val="0"/>
          <w:i w:val="0"/>
        </w:rPr>
        <w:t>WBS line items</w:t>
      </w:r>
    </w:p>
    <w:p>
      <w:r>
        <w:rPr>
          <w:b w:val="0"/>
          <w:i w:val="0"/>
        </w:rPr>
        <w:t>194</w:t>
      </w:r>
      <w:r>
        <w:t xml:space="preserve"> </w:t>
      </w:r>
      <w:r>
        <w:rPr>
          <w:b w:val="0"/>
          <w:i w:val="0"/>
        </w:rPr>
        <w:t>Loaded work packages</w:t>
      </w:r>
    </w:p>
    <w:p>
      <w:r>
        <w:rPr>
          <w:b w:val="0"/>
          <w:i w:val="0"/>
        </w:rPr>
        <w:t>35</w:t>
      </w:r>
      <w:r>
        <w:t xml:space="preserve"> </w:t>
      </w:r>
      <w:r>
        <w:rPr>
          <w:b w:val="0"/>
          <w:i w:val="0"/>
        </w:rPr>
        <w:t>Named resources</w:t>
      </w:r>
    </w:p>
    <w:p>
      <w:r>
        <w:rPr>
          <w:b w:val="0"/>
          <w:i w:val="0"/>
        </w:rPr>
        <w:t>351</w:t>
      </w:r>
      <w:r>
        <w:t xml:space="preserve"> </w:t>
      </w:r>
      <w:r>
        <w:rPr>
          <w:b w:val="0"/>
          <w:i w:val="0"/>
        </w:rPr>
        <w:t>Assignments</w:t>
      </w:r>
    </w:p>
    <w:p>
      <w:r>
        <w:rPr>
          <w:b w:val="0"/>
          <w:i w:val="0"/>
        </w:rPr>
        <w:t>74,984</w:t>
      </w:r>
      <w:r>
        <w:t xml:space="preserve"> </w:t>
      </w:r>
      <w:r>
        <w:rPr>
          <w:b w:val="0"/>
          <w:i w:val="0"/>
        </w:rPr>
        <w:t>Total effort (h)</w:t>
      </w:r>
    </w:p>
    <w:p>
      <w:r>
        <w:rPr>
          <w:b w:val="0"/>
          <w:i w:val="0"/>
        </w:rPr>
        <w:t>$6,960,000</w:t>
      </w:r>
      <w:r>
        <w:t xml:space="preserve"> </w:t>
      </w:r>
      <w:r>
        <w:rPr>
          <w:b w:val="0"/>
          <w:i w:val="0"/>
        </w:rPr>
        <w:t>Total labor</w:t>
      </w:r>
    </w:p>
    <w:p>
      <w:pPr>
        <w:pStyle w:val="Heading1"/>
      </w:pPr>
      <w:r>
        <w:t>1. How this WBS is loaded</w:t>
      </w:r>
    </w:p>
    <w:p>
      <w:r>
        <w:rPr>
          <w:b w:val="0"/>
          <w:i w:val="0"/>
        </w:rPr>
        <w:t xml:space="preserve">Each work package names </w:t>
      </w:r>
      <w:r>
        <w:rPr>
          <w:b/>
          <w:i w:val="0"/>
        </w:rPr>
        <w:t>one accountable owner</w:t>
      </w:r>
      <w:r>
        <w:rPr>
          <w:b w:val="0"/>
          <w:i w:val="0"/>
        </w:rPr>
        <w:t xml:space="preserve"> plus any </w:t>
      </w:r>
      <w:r>
        <w:rPr>
          <w:b/>
          <w:i w:val="0"/>
        </w:rPr>
        <w:t>named contributors</w:t>
      </w:r>
      <w:r>
        <w:rPr>
          <w:b w:val="0"/>
          <w:i w:val="0"/>
        </w:rPr>
        <w:t xml:space="preserve">. The distinction is not cosmetic: on a task order where the Government surveils performance through the </w:t>
      </w:r>
      <w:r>
        <w:rPr>
          <w:b w:val="0"/>
          <w:i w:val="0"/>
        </w:rPr>
        <w:t>QASP</w:t>
      </w:r>
      <w:r>
        <w:rPr>
          <w:b w:val="0"/>
          <w:i w:val="0"/>
        </w:rPr>
        <w:t>, a package with three names and no single answerable owner is a package with no one to hold to the standard.</w:t>
      </w:r>
    </w:p>
    <w:p>
      <w:r>
        <w:rPr>
          <w:b w:val="0"/>
          <w:i w:val="0"/>
        </w:rPr>
        <w:t xml:space="preserve">The loading is </w:t>
      </w:r>
      <w:r>
        <w:rPr>
          <w:b/>
          <w:i w:val="0"/>
        </w:rPr>
        <w:t>allocation-aware</w:t>
      </w:r>
      <w:r>
        <w:rPr>
          <w:b w:val="0"/>
          <w:i w:val="0"/>
        </w:rPr>
        <w:t>. Each person's hours come from their Resource Plan line, which already carries their FTE percentage — and on this Task Order those vary widely (100%, 80%, 75%, 60%, 50%, 25%). A resource at 50% FTE is loaded at 50% capacity, not quietly modelled as though they were full-time. Hours are then distributed across the packages they work on in proportion to package duration.</w:t>
      </w:r>
    </w:p>
    <w:p>
      <w:r>
        <w:rPr>
          <w:b/>
          <w:i w:val="0"/>
        </w:rPr>
        <w:t>Cost is distributed, not recomputed.</w:t>
      </w:r>
      <w:r>
        <w:rPr>
          <w:b w:val="0"/>
          <w:i w:val="0"/>
        </w:rPr>
        <w:t xml:space="preserve"> Blended rates in the Resource Plan are rounded for presentation (2,080 hours at $112.98 is $234,998.40, but the line reads $235,000). Recomputing cost from rate × hours would therefore drift from the contract by a few dollars per person and by thousands across the roster. Each person's </w:t>
      </w:r>
      <w:r>
        <w:rPr>
          <w:b w:val="0"/>
          <w:i/>
        </w:rPr>
        <w:t>stated</w:t>
      </w:r>
      <w:r>
        <w:rPr>
          <w:b w:val="0"/>
          <w:i w:val="0"/>
        </w:rPr>
        <w:t xml:space="preserve"> cost is allocated instead, so the total ties to the penny.</w:t>
      </w:r>
    </w:p>
    <w:p>
      <w:pPr>
        <w:pStyle w:val="Heading1"/>
      </w:pPr>
      <w:r>
        <w:t>2. Effort &amp; cost by contractual period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Period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Duration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Resources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Labor cost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Base Period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 months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66,144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$5,750,000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Option Period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 months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8,840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$1,210,000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Total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 months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35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194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74,984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$6,960,000</w:t>
            </w:r>
          </w:p>
        </w:tc>
      </w:tr>
    </w:tbl>
    <w:p/>
    <w:p>
      <w:r>
        <w:rPr>
          <w:b w:val="0"/>
          <w:i w:val="0"/>
        </w:rPr>
        <w:t xml:space="preserve">The Option Period is deliberately smaller and differently shaped: it covers post-launch stabilization, so it draws 17 of the 35 resources rather than the full team, and its packages sit in the cutover, stabilization and closeout phases. Several people carry a </w:t>
      </w:r>
      <w:r>
        <w:rPr>
          <w:b w:val="0"/>
          <w:i/>
        </w:rPr>
        <w:t>lower</w:t>
      </w:r>
      <w:r>
        <w:rPr>
          <w:b w:val="0"/>
          <w:i w:val="0"/>
        </w:rPr>
        <w:t xml:space="preserve"> FTE in the Option Period than in the Base Period — the ramp-down is priced into the contract, and this view shows it rather than assuming a flat team.</w:t>
      </w:r>
    </w:p>
    <w:p>
      <w:pPr>
        <w:pStyle w:val="Heading1"/>
      </w:pPr>
      <w:r>
        <w:t>3. Reconciliation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Check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Value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Result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Period distributed effort / cost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66,144 h / $5,750,000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Resource Plan Base total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 Period distributed effort / cost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8,840 h / $1,210,000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Resource Plan Option total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Combined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74,984 h / $6,960,000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= Task Order Budget labor, $0 variance ✓</w:t>
            </w:r>
          </w:p>
        </w:tc>
      </w:tr>
      <w:tr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Per-resource, per-period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 of 35</w:t>
            </w:r>
          </w:p>
        </w:tc>
        <w:tc>
          <w:tcPr>
            <w:tcW w:type="dxa" w:w="3312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each equals that person's roster line exactly ✓</w:t>
            </w:r>
          </w:p>
        </w:tc>
      </w:tr>
    </w:tbl>
    <w:p/>
    <w:p>
      <w:r>
        <w:rPr>
          <w:b w:val="0"/>
          <w:i w:val="0"/>
        </w:rPr>
        <w:t>These are assertions the generator evaluates, not totals typed into a table — it refuses to emit this page if any of them fails. The $0 variance shown in the Resource Plan's own reconciliation table is reproduced here from the opposite direction: that table compares plan to budget, this one rebuilds the plan from the work packages up.</w:t>
      </w:r>
    </w:p>
    <w:p>
      <w:pPr>
        <w:pStyle w:val="Heading1"/>
      </w:pPr>
      <w:r>
        <w:t>4. Effort &amp; cost by phase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WBS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Phase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Labor cost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% of total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Task Order Kickoff &amp; Mobilization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4,866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$492,612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&amp; Solution Architecture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8,934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$789,971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11.4%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Development &amp; Data Migration Build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35,017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$3,017,101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43.3%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3B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Documentation &amp; Training Materials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2,872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$225,700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Section 508 / VPAT Testing (CDRL A006)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4,586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$364,106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 Security Assessment &amp; Package (CDRL A007)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5,930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$518,966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Cutover (CDRL A009)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3,971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$346,061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5.0%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Stabilization Support (Option Period)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19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8,205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$1,140,027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16.4%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Task Order Closeout (CDRL A010)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603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$65,456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0.9%</w:t>
            </w:r>
          </w:p>
        </w:tc>
      </w:tr>
      <w:tr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Task Order total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194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74,984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$6,960,000</w:t>
            </w:r>
          </w:p>
        </w:tc>
        <w:tc>
          <w:tcPr>
            <w:tcW w:type="dxa" w:w="1656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100.0%</w:t>
            </w:r>
          </w:p>
        </w:tc>
      </w:tr>
    </w:tbl>
    <w:p/>
    <w:p>
      <w:pPr>
        <w:pStyle w:val="Heading1"/>
      </w:pPr>
      <w:r>
        <w:t>5. Resource loading by person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Resource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Role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FTE 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Periods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Hours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Packages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Task Order PM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$365,000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Developer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$300,000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Developer (Eligibility API)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$300,000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ISSO (ATO Package Owner)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3,120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Solutions Architect / Tech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$285,000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Developer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Manning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Automation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Nakashima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Developer (Mobile Redesign)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Deputy PM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Vasquez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Engineer (API Integration Review)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DevOps / Cloud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2,184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$245,000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Castellano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2,184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Tester (Manual/Regression)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 / 50%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2,600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Petrov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Developer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Ochieng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Specialist (Eligibility Data)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Database / ETL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Developer (Eligibility API)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Automation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$186,000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Developer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Developer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Colville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Developer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Winfield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Developer (Mobile Redesign)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UX / Accessibility Designer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Developer (Accessibility Remediation)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Analyst (Eligibility API)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Brennan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DevOps / Cloud Engineer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1,664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Sorenson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Tester (Manual)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QA Tester (Manual)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$140,000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75%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Business Analyst (Mobile Redesign)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75%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Holloway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Release / Configuration Manager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 / 25%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Schedule / PMO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 / 25%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Ashworth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Compliance / Privacy Analyst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50% / 25%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1,300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Section 508 / Accessibility Compliance Lead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 only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Technical Writer / Documentation Specialist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60% / 25%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Base+Option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$103,000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Total — 35 resources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74,984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$6,960,000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351</w:t>
            </w:r>
          </w:p>
        </w:tc>
        <w:tc>
          <w:tcPr>
            <w:tcW w:type="dxa" w:w="1419"/>
          </w:tcPr>
          <w:p/>
        </w:tc>
        <w:tc>
          <w:tcPr>
            <w:tcW w:type="dxa" w:w="1419"/>
          </w:tcPr>
          <w:p/>
        </w:tc>
        <w:tc>
          <w:tcPr>
            <w:tcW w:type="dxa" w:w="1419"/>
          </w:tcPr>
          <w:p/>
        </w:tc>
      </w:tr>
    </w:tbl>
    <w:p/>
    <w:p>
      <w:pPr>
        <w:pStyle w:val="Heading1"/>
      </w:pPr>
      <w:r>
        <w:t>6. Loaded work packages</w:t>
      </w:r>
    </w:p>
    <w:p>
      <w:r>
        <w:rPr>
          <w:b w:val="0"/>
          <w:i w:val="0"/>
        </w:rPr>
        <w:t>All 194 loaded work packages with owner, contributors, period, effort and cost. Effort is carried at work-package level only, so nothing is double-counted in the rollups above.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WBS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Work package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Accountable owner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Contributors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Period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Effort (h)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/>
                <w:i w:val="0"/>
                <w:sz w:val="17"/>
              </w:rPr>
              <w:t>Cost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Contract kickoff meeting with COR/CO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offer letters — leadership roles (PM, Deputy PM, Architect, ISSO)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offer letters — 508 Lead, QA Lead, BA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144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$13,806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offer letters — Front-End Developers (2)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offer letters — Back-End Developers (2)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$19,359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Issue offer letters — DevOps Engineer &amp; QA Tester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Badge/facility access provisioning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$21,587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System/network access provisioning — dev team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New-hire security briefing (PHI/PII handling)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$5,064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New-hire Section 508 awareness briefing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$7,582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Tooling/license procurement — IDE, design, ticketing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289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$27,612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1.1.12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team communication channels &amp; shared drives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Project Management Plan outline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 Plan — scope &amp; schedule management sections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 Plan — cost &amp; quality management sections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$11,914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 Plan — risk &amp; communications management sections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 Plan — staffing &amp; change management sections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$11,914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PM Plan internal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$11,914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Submit PM Plan (CDRL A001) to COR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IMS baseline — Base Period milestones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$23,828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IMS baseline — Option Period milestones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$11,914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IMS baseline internal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$19,201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1.2.11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Submit IMS (CDRL A002) to COR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$11,914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Communications Plan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$23,828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weekly delivery standup cadence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$18,076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bi-weekly COR sync cadence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$18,076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Establish Quality Review Board cadence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Castellano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277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$25,833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1.3.5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RAIDD Log &amp; initial risk identification workshop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$54,240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Stakeholder interview — COR &amp; FOPBA Program Office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$5,217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Stakeholder interview — Sponsor &amp; mission owner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$5,217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Stakeholder interview — end applicants (representative panel)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$10,443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Stakeholder interview — 508/accessibility advocacy reviewers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$8,234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Stakeholder interview — legacy platform SMEs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$5,217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2.1.5B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Stakeholder interview — help desk / call center staff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$5,217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account &amp; identity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2.1.6B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MFA/identity-assurance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benefits application intake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2.1.7B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eligibility pre-screening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K. Marchetti,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$24,262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status tracking &amp; document upload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Whitworth, 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$16,817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2.1.8B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document format &amp; size validation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notifications &amp; reminders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2.1.9B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functional requirements — help desk/call-center handoff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non-functional requirements — security &amp; privacy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non-functional requirements — performance &amp; availability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$15,692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Draft non-functional requirements — accessibility (508/WCAG)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L. Anders,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$18,709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traceability matrix — build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$31,386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2.1.14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Requirements sign-off with COR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407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$31,386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Application architecture — front-end framework selection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Application architecture — back-end/API framework selection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481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$44,761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Application architecture — front-end/back-end integration design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L. Anders, Q.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$21,587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Architecture Decision Records — framework &amp; platform choices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architecture — schema design for applicant records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255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$26,034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architecture — legacy integration/extraction design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393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$39,051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architecture — retention &amp; archival design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$13,017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architecture — identity &amp; MFA design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255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$26,034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architecture — encryption at rest &amp; in transit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architecture — network segmentation &amp; boundary protection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2.2.11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Threat modeling workshop (STRIDE walkthrough)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$10,129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ARB pre-read package assembly (ADRs, diagrams, threat model)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184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ARB internal walkthrough — application &amp; data architecture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ARB internal walkthrough — security architecture &amp; threat model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$5,064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ARB findings remediation (design revisions)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$13,017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ARB COR briefing &amp; sign-off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2.3.6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 Gate: Architecture Approved for Build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ATO-compliant cloud landing zone — network setup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ATO-compliant cloud landing zone — IAM &amp; least-privilege roles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ATO-compliant cloud landing zone — logging &amp; monitoring baseline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$9,019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CI/CD pipeline scaffolding — build stage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$7,894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CI/CD pipeline scaffolding — automated test/security-scan stage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Section 508 Test Plan (CDRL A004) — draft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Whitworth, 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$17,414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Section 508 Test Plan (CDRL A004) — submit to COR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Whitworth, 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$17,414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UI/UX wireframes — account &amp; login flows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$33,176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UI/UX wireframes — application intake flow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$33,176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2.4.10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UI/UX design system — component library spec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$33,176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Component library — buttons &amp; form controls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Nakashima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$79,286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Component library — accessible form controls (508)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Winfield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887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$74,676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Component library — navigation &amp; layout shell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$27,142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Component library — data tables &amp; status indicators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Nakashima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$55,107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account creation flow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$29,166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login &amp; MFA flow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Colville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password reset flow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$29,166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benefits application form (part 1 of 2)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Colville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3.2.5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benefits application form (part 2 of 2)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$29,166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document upload flow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Colville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694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Citizen portal UI — application status tracker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568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$47,127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code review — Sprints A-C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297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$27,142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3.3.4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accessibility self-check pass (pre-508-audit)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Nakashima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$58,891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unit testing — full regression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Winfield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1,300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$109,375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3.4B.1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— notification preference center UI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V. Prescott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$43,750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3.4B.2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— in-app notification banner component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Colville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3.4B.3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— notification scheduling service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C. Whitworth, Q.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670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$60,667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3.4B.4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— email/SMS delivery integration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$57,292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3.4B.5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Notification feature test pass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Core API — account &amp; identity endpoints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1,526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$138,419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Core API — application intake endpoints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1,289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$112,857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Core API — document storage endpoints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772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$68,720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Core API — status/notification endpoints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C. Whitworth,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790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$71,455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3.5.5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Core API — MFA/identity-assurance integration (Mod P00004)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643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$56,427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3.6.1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code review — API layer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759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$69,205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3.6.2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Core API unit &amp; integration testing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643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$56,427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Legacy data extraction tooling — applicant records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Ochieng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1,040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$95,000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Legacy data extraction tooling — in-flight application records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$57,000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3.7.3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Legacy data extraction tooling — document archive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Petrov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$57,000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3.8.1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transformation &amp; mapping pipeline — schema mapping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832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$76,000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3.8.2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transformation &amp; mapping pipeline — validation rules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Petrov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1,030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$91,238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3.8.3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Reduced-scope tooling savings review (Mod P00007)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Petrov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416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$38,000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integration testing — full regression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2,094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$190,994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3.10.1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Security Plan — system boundary &amp; inventory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348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$30,949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3.10.2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Security Plan — control implementation narrative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573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$49,532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3.10.3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System Security Plan — SSP (CDRL A005) submission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$12,379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3.10.4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Disaster Recovery / COOP test plan (Mod P00008)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518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$45,103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3.11.1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case development — account/identity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Manning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$55,800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3.11.2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case development — application intake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Castellano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833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$77,501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3.11.3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case development — document &amp; status flows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Manning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894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$78,900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3.11.4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execution — account/identity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Sorenson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3.11.5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execution — application intake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925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$62,223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3.11.6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Functional test execution — document &amp; status flows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1,071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$95,250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3.12.1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Load test scenario design (peak enrollment period)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246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$21,823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3.12.2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Load test execution — API layer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Brennan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Beaumont, Q. Redmond, R. Fontenot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$84,761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3.12.3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Load test execution — front-end under concurrent load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$15,789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3.12.4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Performance tuning based on load test findings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231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$22,222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Desktop browser compatibility pass (Chrome, Edge, Firefox, Safari)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Sorenson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780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$52,500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Mobile browser compatibility pass (iOS Safari, Android Chrome)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Marchetti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961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$66,674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3.13.3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Screen-reader compatibility spot-check (pre-VPAT)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$46,500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3B.1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Applicant user guide — account &amp; application flow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749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$46,800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3B.2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Applicant user guide — accessibility features overview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570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$37,234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3B.3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COR/Program Office admin runbook — system operations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Brennan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999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3B.4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Help desk support script &amp; FAQ (reduces post-launch tickets)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Castellano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$51,666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Automated accessibility regression tool licensing &amp; setup (Mod P00006)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665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$46,034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Automated accessibility regression testing — account/identity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Sorenson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591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$41,034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Automated accessibility regression testing — application flows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533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$37,145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Automated accessibility regression testing — document/status flows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Beaumont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Whitworth, 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570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$50,642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Manual VPAT testing — screen reader compatibility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$13,695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Manual VPAT testing — keyboard navigation &amp; focus order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$13,695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Manual VPAT testing — color contrast &amp; text scaling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$15,164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Independent 508 audit — vendor onboarding (Mod P00001)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$15,164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Independent 508 audit — findings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$15,164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Independent 508 audit remediation — component fixes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$66,372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Independent 508 audit — re-verification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179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$15,164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4.12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Section 508 Test Report (CDRL A006) — draft &amp; submit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Duvall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Whitworth, L. Anders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427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$34,833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automated vulnerability scanning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$12,379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manual configuration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Holloway, 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971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$72,379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penetration test scoping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Vasquez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863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$82,250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penetration test execution (3rd party)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Vasquez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1,294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$123,375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findings triage &amp; severity rating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$12,379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findings documentation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$12,379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Security Assessment Report — draft &amp; internal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$12,379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POA&amp;M development — open findings prioritization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$10,129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POA&amp;M development — remediation timeline &amp; owners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Ashworth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1,040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POA&amp;M development — critical finding remediation (pre-ATO)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693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$63,333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 package assembly (SSP + SAR + POA&amp;M)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$15,194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 package submission (CDRL A007)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$5,064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ATO authorization bridge extension (Mod P00005)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$15,194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5.14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 Gate: ATO Granted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$2,532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validation — record-count reconciliation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Ochieng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520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$47,500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validation — field-level accuracy sampling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416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$38,000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validation — orphaned-record detection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G. Petrov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208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$19,000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validation report (CDRL A009) — draft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Ochieng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$49,750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Data migration validation report (CDRL A009) — submit to COR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Talbot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223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$20,125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 regression test suite — automated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Manning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624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$55,800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Full regression test suite — manual exploratory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594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Readiness Review — go-live checklist walkthrough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$18,076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6.9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Production Readiness Review — COR/Sponsor briefing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$18,076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Cutover communications — applicant notice of maintenance window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Okonkwo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Holloway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Base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483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$35,217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Cutover rehearsal (dry run)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Brennan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Holloway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$234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Cutover execution — DNS/traffic cutover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Holloway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$1,121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Cutover execution — legacy platform read-only lockdown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Brennan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B. Holloway, D. Vasquez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$701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Post-cutover smoke test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L. Sorenson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Byrne, B. Holloway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$492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6.15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 Gate: Production Go-Live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$1,969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defect-fix sustainment — Month 1-2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J. Winfield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$5,421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defect-fix sustainment — Month 3-4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Marston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$95,421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Front-end defect-fix sustainment — Month 5-6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R. Nakashima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$95,163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defect-fix sustainment — Month 1-2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H. Ibrahim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$105,421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defect-fix sustainment — Month 3-4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Larsen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557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$105,421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7.1.6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Back-end defect-fix sustainment — Month 5-6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Halloway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$5,163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Continuous ATO monitoring &amp; POA&amp;M closure tracking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T. Abernathy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Vasquez, K. Ashworth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1,816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$174,533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7.3.1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Regression support testing — monthly pass, Q1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P. Manning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576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$98,132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7.3.2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Regression support testing — monthly pass, Q2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N. Castellano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576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$83,132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7.3.3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Release verification testing — ongoing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M. Delvecchio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A. Byrne, B. Holloway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441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$50,532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Infrastructure sustainment &amp; cost optimization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S. Vance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516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$94,113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Status Report — Option Month 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$12,400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Status Report — Option Month 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$43,463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Status Report — Option Month 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$12,398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Status Report — Option Month 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$43,458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Status Report — Option Month 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Whitworth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128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$12,398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7.5.6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Status Report — Option Month 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$43,458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Quarterly Architecture Review — post-launch drift check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7.7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Quarterly Architecture Review — Option Period midpoint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K. Lindqvist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$30,000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 CDRL reconciliation &amp; acceptance review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260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$27,500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Final contract modification reconciliation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130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$13,750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8.3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Closeout Report — draft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$4,345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8.4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Lessons Learned Register — compile &amp; finalize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31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$3,939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CDRL Closeout Certification — submit to COR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D. Ferris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E. Marchand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132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$13,953</w:t>
            </w:r>
          </w:p>
        </w:tc>
      </w:tr>
      <w:tr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8.6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Milestone: Task Order Closed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C. Tyrrell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—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Option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15</w:t>
            </w:r>
          </w:p>
        </w:tc>
        <w:tc>
          <w:tcPr>
            <w:tcW w:type="dxa" w:w="1419"/>
          </w:tcPr>
          <w:p>
            <w:r>
              <w:rPr>
                <w:sz w:val="17"/>
              </w:rPr>
            </w:r>
            <w:r>
              <w:rPr>
                <w:b w:val="0"/>
                <w:i w:val="0"/>
                <w:sz w:val="17"/>
              </w:rPr>
              <w:t>$1,969</w:t>
            </w:r>
          </w:p>
        </w:tc>
      </w:tr>
    </w:tbl>
    <w:p/>
    <w:sectPr w:rsidR="00FC693F" w:rsidRPr="0006063C" w:rsidSect="0003461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