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Weekly Status Report</w:t>
      </w:r>
    </w:p>
    <w:p>
      <w:r>
        <w:rPr>
          <w:b/>
        </w:rPr>
        <w:t>BenefitConnect Portal Modernization — Report No. WK-11 — Mo. 2, Wk. 3</w:t>
      </w:r>
    </w:p>
    <w:p>
      <w:r>
        <w:t>BenefitConnect Portal Modernization is in Requirements &amp; Design, with the Section 508 Test Plan (CDRL A004) in drafting. The Task Order is currently Amber due to R-01 — the ATO Security Assessment carries a 9 (High/High) risk score, since any finding cascades directly into Milestone Gate 1 (Month 7). This week's focus was standing up the pre-assessment scan infrastructure ahead of the formal 60-day-early submission window. No change to Milestone Gate 1 is being proposed this period. This internal weekly cadence rolls up into the formal Monthly Status Report (CDRL A008) submitted to the COR.</w:t>
      </w:r>
    </w:p>
    <w:p>
      <w:pPr>
        <w:pStyle w:val="Heading2"/>
      </w:pPr>
      <w:r>
        <w:t>At a Glance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Overall Status</w:t>
            </w:r>
          </w:p>
        </w:tc>
        <w:tc>
          <w:tcPr>
            <w:tcW w:type="dxa" w:w="2160"/>
          </w:tcPr>
          <w:p>
            <w:r>
              <w:t>Schedule</w:t>
            </w:r>
          </w:p>
        </w:tc>
        <w:tc>
          <w:tcPr>
            <w:tcW w:type="dxa" w:w="2160"/>
          </w:tcPr>
          <w:p>
            <w:r>
              <w:t>Budget (FFP)</w:t>
            </w:r>
          </w:p>
        </w:tc>
        <w:tc>
          <w:tcPr>
            <w:tcW w:type="dxa" w:w="2160"/>
          </w:tcPr>
          <w:p>
            <w:r>
              <w:t>Open Risks (High)</w:t>
            </w:r>
          </w:p>
        </w:tc>
      </w:tr>
      <w:tr>
        <w:tc>
          <w:tcPr>
            <w:tcW w:type="dxa" w:w="2160"/>
          </w:tcPr>
          <w:p>
            <w:r>
              <w:t>Amber</w:t>
            </w:r>
          </w:p>
        </w:tc>
        <w:tc>
          <w:tcPr>
            <w:tcW w:type="dxa" w:w="2160"/>
          </w:tcPr>
          <w:p>
            <w:r>
              <w:t>On Track (Mo. 2)</w:t>
            </w:r>
          </w:p>
        </w:tc>
        <w:tc>
          <w:tcPr>
            <w:tcW w:type="dxa" w:w="2160"/>
          </w:tcPr>
          <w:p>
            <w:r>
              <w:t>~12% Spent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</w:tbl>
    <w:p>
      <w:pPr>
        <w:pStyle w:val="Heading2"/>
      </w:pPr>
      <w:r>
        <w:t>Accomplished This Week</w:t>
      </w:r>
    </w:p>
    <w:p>
      <w:pPr>
        <w:pStyle w:val="ListBullet"/>
      </w:pPr>
      <w:r>
        <w:rPr>
          <w:b w:val="0"/>
        </w:rPr>
        <w:t xml:space="preserve">Pre-assessment scan tooling stood up — 60 days ahead of formal ATO submission window, per R-01 mitigation plan. </w:t>
      </w:r>
      <w:r>
        <w:rPr>
          <w:i/>
        </w:rPr>
        <w:t>Owner: T. Abernathy</w:t>
      </w:r>
    </w:p>
    <w:p>
      <w:pPr>
        <w:pStyle w:val="ListBullet"/>
      </w:pPr>
      <w:r>
        <w:rPr>
          <w:b w:val="0"/>
        </w:rPr>
        <w:t xml:space="preserve">Section 508 Test Plan draft (CDRL A004) circulated for internal review ahead of COR submission. </w:t>
      </w:r>
      <w:r>
        <w:rPr>
          <w:i/>
        </w:rPr>
        <w:t>Owner: P. Duvall</w:t>
      </w:r>
    </w:p>
    <w:p>
      <w:pPr>
        <w:pStyle w:val="ListBullet"/>
      </w:pPr>
      <w:r>
        <w:rPr>
          <w:b w:val="0"/>
        </w:rPr>
        <w:t xml:space="preserve">Field-level data profiling completed on the first legacy applicant data extract (R-02 mitigation). </w:t>
      </w:r>
      <w:r>
        <w:rPr>
          <w:i/>
        </w:rPr>
        <w:t>Owner: K. Lindqvist</w:t>
      </w:r>
    </w:p>
    <w:p>
      <w:pPr>
        <w:pStyle w:val="ListBullet"/>
      </w:pPr>
      <w:r>
        <w:rPr>
          <w:b w:val="0"/>
        </w:rPr>
        <w:t xml:space="preserve">Onshore bench candidates identified with Acme Federal Systems' staffing team (R-05 contingency). </w:t>
      </w:r>
      <w:r>
        <w:rPr>
          <w:i/>
        </w:rPr>
        <w:t>Owner: D. Ferris</w:t>
      </w:r>
    </w:p>
    <w:p>
      <w:pPr>
        <w:pStyle w:val="Heading2"/>
      </w:pPr>
      <w:r>
        <w:t>Planned Next Week</w:t>
      </w:r>
    </w:p>
    <w:p>
      <w:pPr>
        <w:pStyle w:val="ListBullet"/>
      </w:pPr>
      <w:r>
        <w:t xml:space="preserve">Submit Section 508 Test Plan (CDRL A004) to COR for formal acceptance. </w:t>
      </w:r>
      <w:r>
        <w:rPr>
          <w:i/>
        </w:rPr>
        <w:t>Owner: P. Duvall</w:t>
      </w:r>
    </w:p>
    <w:p>
      <w:pPr>
        <w:pStyle w:val="ListBullet"/>
      </w:pPr>
      <w:r>
        <w:t xml:space="preserve">Begin System Security Plan (CDRL A005) drafting ahead of the Month 3 target. </w:t>
      </w:r>
      <w:r>
        <w:rPr>
          <w:i/>
        </w:rPr>
        <w:t>Owner: T. Abernathy</w:t>
      </w:r>
    </w:p>
    <w:p>
      <w:pPr>
        <w:pStyle w:val="ListBullet"/>
      </w:pPr>
      <w:r>
        <w:t xml:space="preserve">Resolve GFE VPN latency issue (I-05) — coordinate with FOPBA internal IT on a permanent fix. </w:t>
      </w:r>
      <w:r>
        <w:rPr>
          <w:i/>
        </w:rPr>
        <w:t>Owner: S. Vance</w:t>
      </w:r>
    </w:p>
    <w:p>
      <w:pPr>
        <w:pStyle w:val="ListBullet"/>
      </w:pPr>
      <w:r>
        <w:t xml:space="preserve">Continue automated cleansing rule development for legacy data formatting (R-02). </w:t>
      </w:r>
      <w:r>
        <w:rPr>
          <w:i/>
        </w:rPr>
        <w:t>Owner: K. Lindqvist</w:t>
      </w:r>
    </w:p>
    <w:p>
      <w:pPr>
        <w:pStyle w:val="Heading2"/>
      </w:pPr>
      <w:r>
        <w:t>Risks &amp; Issues Requiring Attention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ID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  <w:tc>
          <w:tcPr>
            <w:tcW w:type="dxa" w:w="2160"/>
          </w:tcPr>
          <w:p>
            <w:r>
              <w:t>Status / Action</w:t>
            </w:r>
          </w:p>
        </w:tc>
      </w:tr>
      <w:tr>
        <w:tc>
          <w:tcPr>
            <w:tcW w:type="dxa" w:w="2160"/>
          </w:tcPr>
          <w:p>
            <w:r>
              <w:t>R-01</w:t>
            </w:r>
          </w:p>
        </w:tc>
        <w:tc>
          <w:tcPr>
            <w:tcW w:type="dxa" w:w="2160"/>
          </w:tcPr>
          <w:p>
            <w:r>
              <w:t>ATO assessment surfaces a security finding that delays Milestone Gate 1 (Score 9, High/High)</w:t>
            </w:r>
          </w:p>
        </w:tc>
        <w:tc>
          <w:tcPr>
            <w:tcW w:type="dxa" w:w="2160"/>
          </w:tcPr>
          <w:p>
            <w:r>
              <w:t>T. Abernathy</w:t>
            </w:r>
          </w:p>
        </w:tc>
        <w:tc>
          <w:tcPr>
            <w:tcW w:type="dxa" w:w="2160"/>
          </w:tcPr>
          <w:p>
            <w:r>
              <w:t>Pre-assessment scan tooling stood up this week; POA&amp;M template pre-staged</w:t>
            </w:r>
          </w:p>
        </w:tc>
      </w:tr>
      <w:tr>
        <w:tc>
          <w:tcPr>
            <w:tcW w:type="dxa" w:w="2160"/>
          </w:tcPr>
          <w:p>
            <w:r>
              <w:t>R-05</w:t>
            </w:r>
          </w:p>
        </w:tc>
        <w:tc>
          <w:tcPr>
            <w:tcW w:type="dxa" w:w="2160"/>
          </w:tcPr>
          <w:p>
            <w:r>
              <w:t>All-onshore staffing constraint limits surge capacity (Score 6, Medium/High)</w:t>
            </w:r>
          </w:p>
        </w:tc>
        <w:tc>
          <w:tcPr>
            <w:tcW w:type="dxa" w:w="2160"/>
          </w:tcPr>
          <w:p>
            <w:r>
              <w:t>D. Ferris</w:t>
            </w:r>
          </w:p>
        </w:tc>
        <w:tc>
          <w:tcPr>
            <w:tcW w:type="dxa" w:w="2160"/>
          </w:tcPr>
          <w:p>
            <w:r>
              <w:t>Onshore bench candidates identified this week as contingency</w:t>
            </w:r>
          </w:p>
        </w:tc>
      </w:tr>
      <w:tr>
        <w:tc>
          <w:tcPr>
            <w:tcW w:type="dxa" w:w="2160"/>
          </w:tcPr>
          <w:p>
            <w:r>
              <w:t>R-02</w:t>
            </w:r>
          </w:p>
        </w:tc>
        <w:tc>
          <w:tcPr>
            <w:tcW w:type="dxa" w:w="2160"/>
          </w:tcPr>
          <w:p>
            <w:r>
              <w:t>Legacy applicant data formatting complicates migration validation (Score 6, Medium/High)</w:t>
            </w:r>
          </w:p>
        </w:tc>
        <w:tc>
          <w:tcPr>
            <w:tcW w:type="dxa" w:w="2160"/>
          </w:tcPr>
          <w:p>
            <w:r>
              <w:t>K. Lindqvist</w:t>
            </w:r>
          </w:p>
        </w:tc>
        <w:tc>
          <w:tcPr>
            <w:tcW w:type="dxa" w:w="2160"/>
          </w:tcPr>
          <w:p>
            <w:r>
              <w:t>Field-level profiling complete on first extract; cleansing rules in development</w:t>
            </w:r>
          </w:p>
        </w:tc>
      </w:tr>
      <w:tr>
        <w:tc>
          <w:tcPr>
            <w:tcW w:type="dxa" w:w="2160"/>
          </w:tcPr>
          <w:p>
            <w:r>
              <w:t>I-05</w:t>
            </w:r>
          </w:p>
        </w:tc>
        <w:tc>
          <w:tcPr>
            <w:tcW w:type="dxa" w:w="2160"/>
          </w:tcPr>
          <w:p>
            <w:r>
              <w:t>Intermittent VPN latency to FOPBA's GFE affecting DevOps deployment windows</w:t>
            </w:r>
          </w:p>
        </w:tc>
        <w:tc>
          <w:tcPr>
            <w:tcW w:type="dxa" w:w="2160"/>
          </w:tcPr>
          <w:p>
            <w:r>
              <w:t>S. Vance</w:t>
            </w:r>
          </w:p>
        </w:tc>
        <w:tc>
          <w:tcPr>
            <w:tcW w:type="dxa" w:w="2160"/>
          </w:tcPr>
          <w:p>
            <w:r>
              <w:t>Status: Open — interim workaround (off-peak deployment scheduling) in place</w:t>
            </w:r>
          </w:p>
        </w:tc>
      </w:tr>
      <w:tr>
        <w:tc>
          <w:tcPr>
            <w:tcW w:type="dxa" w:w="2160"/>
          </w:tcPr>
          <w:p>
            <w:r>
              <w:t>DEP-01</w:t>
            </w:r>
          </w:p>
        </w:tc>
        <w:tc>
          <w:tcPr>
            <w:tcW w:type="dxa" w:w="2160"/>
          </w:tcPr>
          <w:p>
            <w:r>
              <w:t>ATO package (A007) cannot submit until Section 508 report (A006) is accepted</w:t>
            </w:r>
          </w:p>
        </w:tc>
        <w:tc>
          <w:tcPr>
            <w:tcW w:type="dxa" w:w="2160"/>
          </w:tcPr>
          <w:p>
            <w:r>
              <w:t>T. Abernathy</w:t>
            </w:r>
          </w:p>
        </w:tc>
        <w:tc>
          <w:tcPr>
            <w:tcW w:type="dxa" w:w="2160"/>
          </w:tcPr>
          <w:p>
            <w:r>
              <w:t>Status: At Risk — sequencing tracked, no slip yet</w:t>
            </w:r>
          </w:p>
        </w:tc>
      </w:tr>
    </w:tbl>
    <w:p>
      <w:pPr>
        <w:pStyle w:val="Heading2"/>
      </w:pPr>
      <w:r>
        <w:t>Budget Health &amp; Variance (Firm-Fixed-Price)</w:t>
      </w:r>
    </w:p>
    <w:p>
      <w:r>
        <w:t>Status: On Track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Current Period Variance</w:t>
            </w:r>
          </w:p>
        </w:tc>
        <w:tc>
          <w:tcPr>
            <w:tcW w:type="dxa" w:w="4320"/>
          </w:tcPr>
          <w:p>
            <w:r>
              <w:t>Value Growth to Date</w:t>
            </w:r>
          </w:p>
        </w:tc>
      </w:tr>
      <w:tr>
        <w:tc>
          <w:tcPr>
            <w:tcW w:type="dxa" w:w="4320"/>
          </w:tcPr>
          <w:p>
            <w:r>
              <w:t>$0 — FFP, FOPBA sees CDRL schedule status, not internal cost variance</w:t>
            </w:r>
          </w:p>
        </w:tc>
        <w:tc>
          <w:tcPr>
            <w:tcW w:type="dxa" w:w="4320"/>
          </w:tcPr>
          <w:p>
            <w:r>
              <w:t>+$114,000 (10 mods) — $3,550,000 baseline to $3,664,000 final adjusted value</w:t>
            </w:r>
          </w:p>
        </w:tc>
      </w:tr>
    </w:tbl>
    <w:p>
      <w:r>
        <w:t>Internal Acme cost tracking (not billed line-item to FOPBA): est. ~$440K of $3,664,000 final value consumed at this point in Base Period. No re-baselining is recommended at this time.</w:t>
      </w:r>
    </w:p>
    <w:p>
      <w:pPr>
        <w:pStyle w:val="Heading2"/>
      </w:pPr>
      <w:r>
        <w:t>Upcoming Milestones</w:t>
      </w:r>
    </w:p>
    <w:p>
      <w:pPr>
        <w:pStyle w:val="ListBullet"/>
      </w:pPr>
      <w:r>
        <w:t>Task Order Kickoff — Mo. 0 (complete)</w:t>
      </w:r>
    </w:p>
    <w:p>
      <w:pPr>
        <w:pStyle w:val="ListBullet"/>
      </w:pPr>
      <w:r>
        <w:t>PMP + IMS Baseline (A001/A002) — Mo. 1 (complete)</w:t>
      </w:r>
    </w:p>
    <w:p>
      <w:pPr>
        <w:pStyle w:val="ListBullet"/>
      </w:pPr>
      <w:r>
        <w:t>Section 508 Test Plan (A004) — In progress (current)</w:t>
      </w:r>
    </w:p>
    <w:p>
      <w:pPr>
        <w:pStyle w:val="ListBullet"/>
      </w:pPr>
      <w:r>
        <w:t>System Security Plan (A005) — Mo. 3</w:t>
      </w:r>
    </w:p>
    <w:p>
      <w:pPr>
        <w:pStyle w:val="ListBullet"/>
      </w:pPr>
      <w:r>
        <w:t>Section 508 / VPAT Testing (A006) — Mo. 6</w:t>
      </w:r>
    </w:p>
    <w:p>
      <w:pPr>
        <w:pStyle w:val="ListBullet"/>
      </w:pPr>
      <w:r>
        <w:t>ATO Milestone Gate (A007) — Mo. 7</w:t>
      </w:r>
    </w:p>
    <w:p>
      <w:pPr>
        <w:pStyle w:val="ListBullet"/>
      </w:pPr>
      <w:r>
        <w:t>Production Go-Live — Mo. 8</w:t>
      </w:r>
    </w:p>
    <w:p>
      <w:pPr>
        <w:pStyle w:val="ListBullet"/>
      </w:pPr>
      <w:r>
        <w:t>Option Period Decision — Mo. 12</w:t>
      </w:r>
    </w:p>
    <w:p>
      <w:r>
        <w:rPr>
          <w:i/>
        </w:rPr>
        <w:t>Illustrative program data — created to demonstrate federal task-order management practice, not a real government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