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Actuarial Pricing &amp; Assumption Summary</w:t>
      </w:r>
    </w:p>
    <w:p>
      <w:r>
        <w:rPr>
          <w:color w:val="1E5945"/>
          <w:sz w:val="18"/>
        </w:rPr>
        <w:t>Product &amp; Regulatory · The Document That Was Wrong</w:t>
      </w:r>
    </w:p>
    <w:p/>
    <w:p>
      <w:pPr>
        <w:spacing w:after="120"/>
      </w:pPr>
      <w:r>
        <w:rPr>
          <w:b/>
          <w:i w:val="0"/>
          <w:sz w:val="20"/>
        </w:rPr>
        <w:t>Lighthouse Financial Services Company</w:t>
      </w:r>
      <w:r>
        <w:rPr>
          <w:b w:val="0"/>
          <w:i w:val="0"/>
          <w:sz w:val="20"/>
        </w:rPr>
        <w:t xml:space="preserve"> — The pricing basis for Beacon Index Advantage on the corrected capital footing, with every assumption stated alongside how it could be wrong and what would reveal it. Version 2.0, 11 June 2026. Status as at 16 October 2026.</w:t>
      </w:r>
    </w:p>
    <w:p>
      <w:pPr>
        <w:spacing w:after="120"/>
      </w:pPr>
      <w:r>
        <w:rPr>
          <w:b w:val="0"/>
          <w:i w:val="0"/>
          <w:sz w:val="20"/>
        </w:rPr>
        <w:t>87 bp</w:t>
      </w:r>
    </w:p>
    <w:p>
      <w:pPr>
        <w:spacing w:after="120"/>
      </w:pPr>
      <w:r>
        <w:rPr>
          <w:b w:val="0"/>
          <w:i w:val="0"/>
          <w:sz w:val="20"/>
        </w:rPr>
        <w:t>Understatement this document carried</w:t>
      </w:r>
    </w:p>
    <w:p>
      <w:pPr>
        <w:spacing w:after="120"/>
      </w:pPr>
      <w:r>
        <w:rPr>
          <w:b w:val="0"/>
          <w:i w:val="0"/>
          <w:sz w:val="20"/>
        </w:rPr>
        <w:t>14.6% → 13.4%</w:t>
      </w:r>
    </w:p>
    <w:p>
      <w:pPr>
        <w:spacing w:after="120"/>
      </w:pPr>
      <w:r>
        <w:rPr>
          <w:b w:val="0"/>
          <w:i w:val="0"/>
          <w:sz w:val="20"/>
        </w:rPr>
        <w:t>Return, tabled → corrected</w:t>
      </w:r>
    </w:p>
    <w:p>
      <w:pPr>
        <w:spacing w:after="120"/>
      </w:pPr>
      <w:r>
        <w:rPr>
          <w:b w:val="0"/>
          <w:i w:val="0"/>
          <w:sz w:val="20"/>
        </w:rPr>
        <w:t>8</w:t>
      </w:r>
    </w:p>
    <w:p>
      <w:pPr>
        <w:spacing w:after="120"/>
      </w:pPr>
      <w:r>
        <w:rPr>
          <w:b w:val="0"/>
          <w:i w:val="0"/>
          <w:sz w:val="20"/>
        </w:rPr>
        <w:t>Assumptions, each with a failure mode</w:t>
      </w:r>
    </w:p>
    <w:p>
      <w:pPr>
        <w:spacing w:after="120"/>
      </w:pPr>
      <w:r>
        <w:rPr>
          <w:b w:val="0"/>
          <w:i w:val="0"/>
          <w:sz w:val="20"/>
        </w:rPr>
        <w:t>2</w:t>
      </w:r>
    </w:p>
    <w:p>
      <w:pPr>
        <w:spacing w:after="120"/>
      </w:pPr>
      <w:r>
        <w:rPr>
          <w:b w:val="0"/>
          <w:i w:val="0"/>
          <w:sz w:val="20"/>
        </w:rPr>
        <w:t>Not testable before the gate that depends on them</w:t>
      </w:r>
    </w:p>
    <w:p>
      <w:pPr>
        <w:spacing w:after="120"/>
      </w:pPr>
      <w:r>
        <w:rPr>
          <w:b/>
          <w:i w:val="0"/>
          <w:sz w:val="20"/>
        </w:rPr>
        <w:t>Contents</w:t>
      </w:r>
    </w:p>
    <w:p>
      <w:pPr>
        <w:pStyle w:val="ListNumber"/>
        <w:spacing w:after="60"/>
      </w:pPr>
      <w:r>
        <w:rPr>
          <w:b w:val="0"/>
          <w:i w:val="0"/>
          <w:sz w:val="20"/>
        </w:rPr>
        <w:t>Why This Version Is Written Differently</w:t>
      </w:r>
    </w:p>
    <w:p>
      <w:pPr>
        <w:pStyle w:val="ListNumber"/>
        <w:spacing w:after="60"/>
      </w:pPr>
      <w:r>
        <w:rPr>
          <w:b w:val="0"/>
          <w:i w:val="0"/>
          <w:sz w:val="20"/>
        </w:rPr>
        <w:t>Pricing Basis</w:t>
      </w:r>
    </w:p>
    <w:p>
      <w:pPr>
        <w:pStyle w:val="ListNumber"/>
        <w:spacing w:after="60"/>
      </w:pPr>
      <w:r>
        <w:rPr>
          <w:b w:val="0"/>
          <w:i w:val="0"/>
          <w:sz w:val="20"/>
        </w:rPr>
        <w:t>The Capital Charge, Corrected</w:t>
      </w:r>
    </w:p>
    <w:p>
      <w:pPr>
        <w:pStyle w:val="ListNumber"/>
        <w:spacing w:after="60"/>
      </w:pPr>
      <w:r>
        <w:rPr>
          <w:b w:val="0"/>
          <w:i w:val="0"/>
          <w:sz w:val="20"/>
        </w:rPr>
        <w:t>Assumptions, With Failure Modes</w:t>
      </w:r>
    </w:p>
    <w:p>
      <w:pPr>
        <w:pStyle w:val="ListNumber"/>
        <w:spacing w:after="60"/>
      </w:pPr>
      <w:r>
        <w:rPr>
          <w:b w:val="0"/>
          <w:i w:val="0"/>
          <w:sz w:val="20"/>
        </w:rPr>
        <w:t>Sensitivity</w:t>
      </w:r>
    </w:p>
    <w:p>
      <w:pPr>
        <w:pStyle w:val="ListNumber"/>
        <w:spacing w:after="60"/>
      </w:pPr>
      <w:r>
        <w:rPr>
          <w:b w:val="0"/>
          <w:i w:val="0"/>
          <w:sz w:val="20"/>
        </w:rPr>
        <w:t>What Is Still Not Covered</w:t>
      </w:r>
    </w:p>
    <w:p>
      <w:pPr>
        <w:pStyle w:val="ListNumber"/>
        <w:spacing w:after="60"/>
      </w:pPr>
      <w:r>
        <w:rPr>
          <w:b w:val="0"/>
          <w:i w:val="0"/>
          <w:sz w:val="20"/>
        </w:rPr>
        <w:t>External Review and Control</w:t>
      </w:r>
    </w:p>
    <w:p>
      <w:pPr>
        <w:spacing w:before="280" w:after="80"/>
      </w:pPr>
      <w:r>
        <w:rPr>
          <w:b/>
          <w:i w:val="0"/>
          <w:color w:val="14352A"/>
          <w:sz w:val="28"/>
        </w:rPr>
        <w:t>1. Why This Version Is Written Differently</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This is the document that was wrong.</w:t>
            </w:r>
            <w:r>
              <w:rPr>
                <w:b w:val="0"/>
                <w:i w:val="0"/>
                <w:sz w:val="20"/>
              </w:rPr>
              <w:t xml:space="preserve"> The Gate 1 recycle turned on an </w:t>
            </w:r>
            <w:r>
              <w:rPr>
                <w:b/>
                <w:i w:val="0"/>
                <w:sz w:val="20"/>
              </w:rPr>
              <w:t>87 basis point understatement of the required capital charge</w:t>
            </w:r>
            <w:r>
              <w:rPr>
                <w:b w:val="0"/>
                <w:i w:val="0"/>
                <w:sz w:val="20"/>
              </w:rPr>
              <w:t xml:space="preserve">, and that misstatement lived here — in the version tabled to the Board on 30 April 2026. It was not a rounding error or a presentational slip. It was a confident, internally consistent, peer-unreviewed number that moved the program's reported return by 120 basis points, and nobody caught it until a gate refused to score the package. </w:t>
            </w:r>
          </w:p>
        </w:tc>
      </w:tr>
    </w:tbl>
    <w:p/>
    <w:p>
      <w:pPr>
        <w:spacing w:after="120"/>
      </w:pPr>
      <w:r>
        <w:rPr>
          <w:b w:val="0"/>
          <w:i w:val="0"/>
          <w:sz w:val="20"/>
        </w:rPr>
        <w:t xml:space="preserve">The correction itself was straightforward once found. What was not straightforward was the question the Board asked afterwards: </w:t>
      </w:r>
      <w:r>
        <w:rPr>
          <w:b w:val="0"/>
          <w:i/>
          <w:sz w:val="20"/>
        </w:rPr>
        <w:t>how would we have known?</w:t>
      </w:r>
      <w:r>
        <w:rPr>
          <w:b w:val="0"/>
          <w:i w:val="0"/>
          <w:sz w:val="20"/>
        </w:rPr>
        <w:t xml:space="preserve"> Nothing in the previous version of this document offered an answer, because it stated what the actuarial team believed and stopped there.</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So the organizing principle of this version: an assumption summary's job is not to state assumptions — it is to state how each one could be wrong and what would reveal it.</w:t>
            </w:r>
            <w:r>
              <w:rPr>
                <w:b w:val="0"/>
                <w:i w:val="0"/>
                <w:sz w:val="20"/>
              </w:rPr>
              <w:t xml:space="preserve"> Stating an assumption tells a Board what you believe. Stating its failure mode and its detection point tells a Board what to watch, which is the only part of it they can act on. </w:t>
            </w:r>
          </w:p>
        </w:tc>
      </w:tr>
    </w:tbl>
    <w:p/>
    <w:p>
      <w:pPr>
        <w:spacing w:before="280" w:after="80"/>
      </w:pPr>
      <w:r>
        <w:rPr>
          <w:b/>
          <w:i w:val="0"/>
          <w:color w:val="14352A"/>
          <w:sz w:val="28"/>
        </w:rPr>
        <w:t>2. Pricing Basis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Element</w:t>
            </w:r>
          </w:p>
        </w:tc>
        <w:tc>
          <w:tcPr>
            <w:tcW w:type="dxa" w:w="3216"/>
            <w:shd w:val="clear" w:fill="14352A"/>
          </w:tcPr>
          <w:p>
            <w:pPr>
              <w:spacing w:before="40" w:after="40"/>
            </w:pPr>
            <w:r>
              <w:rPr>
                <w:b/>
                <w:i w:val="0"/>
                <w:color w:val="FFFFFF"/>
                <w:sz w:val="17"/>
              </w:rPr>
              <w:t>Value</w:t>
            </w:r>
          </w:p>
        </w:tc>
        <w:tc>
          <w:tcPr>
            <w:tcW w:type="dxa" w:w="3216"/>
            <w:shd w:val="clear" w:fill="14352A"/>
          </w:tcPr>
          <w:p>
            <w:pPr>
              <w:spacing w:before="40" w:after="40"/>
            </w:pPr>
            <w:r>
              <w:rPr>
                <w:b/>
                <w:i w:val="0"/>
                <w:color w:val="FFFFFF"/>
                <w:sz w:val="17"/>
              </w:rPr>
              <w:t>Basis</w:t>
            </w:r>
          </w:p>
        </w:tc>
      </w:tr>
      <w:tr>
        <w:tc>
          <w:tcPr>
            <w:tcW w:type="dxa" w:w="3216"/>
          </w:tcPr>
          <w:p>
            <w:pPr>
              <w:spacing w:before="40" w:after="40"/>
            </w:pPr>
            <w:r>
              <w:rPr>
                <w:b w:val="0"/>
                <w:i w:val="0"/>
                <w:sz w:val="17"/>
              </w:rPr>
              <w:t>Illustrated cap, capped index strategy</w:t>
            </w:r>
          </w:p>
        </w:tc>
        <w:tc>
          <w:tcPr>
            <w:tcW w:type="dxa" w:w="3216"/>
          </w:tcPr>
          <w:p>
            <w:pPr>
              <w:spacing w:before="40" w:after="40"/>
            </w:pPr>
            <w:r>
              <w:rPr>
                <w:b/>
                <w:i w:val="0"/>
                <w:sz w:val="17"/>
              </w:rPr>
              <w:t>9.25%</w:t>
            </w:r>
          </w:p>
        </w:tc>
        <w:tc>
          <w:tcPr>
            <w:tcW w:type="dxa" w:w="3216"/>
          </w:tcPr>
          <w:p>
            <w:pPr>
              <w:spacing w:before="40" w:after="40"/>
            </w:pPr>
            <w:r>
              <w:rPr>
                <w:b w:val="0"/>
                <w:i w:val="0"/>
                <w:sz w:val="17"/>
              </w:rPr>
              <w:t>Against a peer illustrated 9.00%. Competitive floor 8.50% fixed at Gate 1 — the cap may not be set below it without returning to the Board.</w:t>
            </w:r>
          </w:p>
        </w:tc>
      </w:tr>
      <w:tr>
        <w:tc>
          <w:tcPr>
            <w:tcW w:type="dxa" w:w="3216"/>
          </w:tcPr>
          <w:p>
            <w:pPr>
              <w:spacing w:before="40" w:after="40"/>
            </w:pPr>
            <w:r>
              <w:rPr>
                <w:b w:val="0"/>
                <w:i w:val="0"/>
                <w:sz w:val="17"/>
              </w:rPr>
              <w:t>GLWB rider election</w:t>
            </w:r>
          </w:p>
        </w:tc>
        <w:tc>
          <w:tcPr>
            <w:tcW w:type="dxa" w:w="3216"/>
          </w:tcPr>
          <w:p>
            <w:pPr>
              <w:spacing w:before="40" w:after="40"/>
            </w:pPr>
            <w:r>
              <w:rPr>
                <w:b/>
                <w:i w:val="0"/>
                <w:sz w:val="17"/>
              </w:rPr>
              <w:t>62%</w:t>
            </w:r>
          </w:p>
        </w:tc>
        <w:tc>
          <w:tcPr>
            <w:tcW w:type="dxa" w:w="3216"/>
          </w:tcPr>
          <w:p>
            <w:pPr>
              <w:spacing w:before="40" w:after="40"/>
            </w:pPr>
            <w:r>
              <w:rPr>
                <w:b w:val="0"/>
                <w:i w:val="0"/>
                <w:sz w:val="17"/>
              </w:rPr>
              <w:t>Share of policies electing the optional rider at issue. Drives fee income and guarantee exposure together, in the same direction.</w:t>
            </w:r>
          </w:p>
        </w:tc>
      </w:tr>
      <w:tr>
        <w:tc>
          <w:tcPr>
            <w:tcW w:type="dxa" w:w="3216"/>
          </w:tcPr>
          <w:p>
            <w:pPr>
              <w:spacing w:before="40" w:after="40"/>
            </w:pPr>
            <w:r>
              <w:rPr>
                <w:b w:val="0"/>
                <w:i w:val="0"/>
                <w:sz w:val="17"/>
              </w:rPr>
              <w:t>Average case size</w:t>
            </w:r>
          </w:p>
        </w:tc>
        <w:tc>
          <w:tcPr>
            <w:tcW w:type="dxa" w:w="3216"/>
          </w:tcPr>
          <w:p>
            <w:pPr>
              <w:spacing w:before="40" w:after="40"/>
            </w:pPr>
            <w:r>
              <w:rPr>
                <w:b/>
                <w:i w:val="0"/>
                <w:sz w:val="17"/>
              </w:rPr>
              <w:t>$118,000</w:t>
            </w:r>
          </w:p>
        </w:tc>
        <w:tc>
          <w:tcPr>
            <w:tcW w:type="dxa" w:w="3216"/>
          </w:tcPr>
          <w:p>
            <w:pPr>
              <w:spacing w:before="40" w:after="40"/>
            </w:pPr>
            <w:r>
              <w:rPr>
                <w:b w:val="0"/>
                <w:i w:val="0"/>
                <w:sz w:val="17"/>
              </w:rPr>
              <w:t>A distribution and pricing assumption, not a contractual minimum. Never carried on any register — see §6.</w:t>
            </w:r>
          </w:p>
        </w:tc>
      </w:tr>
      <w:tr>
        <w:tc>
          <w:tcPr>
            <w:tcW w:type="dxa" w:w="3216"/>
          </w:tcPr>
          <w:p>
            <w:pPr>
              <w:spacing w:before="40" w:after="40"/>
            </w:pPr>
            <w:r>
              <w:rPr>
                <w:b w:val="0"/>
                <w:i w:val="0"/>
                <w:sz w:val="17"/>
              </w:rPr>
              <w:t>Required capital as a share of account value</w:t>
            </w:r>
          </w:p>
        </w:tc>
        <w:tc>
          <w:tcPr>
            <w:tcW w:type="dxa" w:w="3216"/>
          </w:tcPr>
          <w:p>
            <w:pPr>
              <w:spacing w:before="40" w:after="40"/>
            </w:pPr>
            <w:r>
              <w:rPr>
                <w:b/>
                <w:i w:val="0"/>
                <w:sz w:val="17"/>
              </w:rPr>
              <w:t>4.2%</w:t>
            </w:r>
          </w:p>
        </w:tc>
        <w:tc>
          <w:tcPr>
            <w:tcW w:type="dxa" w:w="3216"/>
          </w:tcPr>
          <w:p>
            <w:pPr>
              <w:spacing w:before="40" w:after="40"/>
            </w:pPr>
            <w:r>
              <w:rPr>
                <w:b/>
                <w:i w:val="0"/>
                <w:sz w:val="17"/>
              </w:rPr>
              <w:t>The corrected basis.</w:t>
            </w:r>
            <w:r>
              <w:rPr>
                <w:b w:val="0"/>
                <w:i w:val="0"/>
                <w:sz w:val="17"/>
              </w:rPr>
              <w:t xml:space="preserve"> Tabled at 3.33% on 30 Apr 2026; corrected at the second convening. Held against account value throughout the life of the block, not taken once at issue.</w:t>
            </w:r>
          </w:p>
        </w:tc>
      </w:tr>
      <w:tr>
        <w:tc>
          <w:tcPr>
            <w:tcW w:type="dxa" w:w="3216"/>
          </w:tcPr>
          <w:p>
            <w:pPr>
              <w:spacing w:before="40" w:after="40"/>
            </w:pPr>
            <w:r>
              <w:rPr>
                <w:b w:val="0"/>
                <w:i w:val="0"/>
                <w:sz w:val="17"/>
              </w:rPr>
              <w:t>Net product margin</w:t>
            </w:r>
          </w:p>
        </w:tc>
        <w:tc>
          <w:tcPr>
            <w:tcW w:type="dxa" w:w="3216"/>
          </w:tcPr>
          <w:p>
            <w:pPr>
              <w:spacing w:before="40" w:after="40"/>
            </w:pPr>
            <w:r>
              <w:rPr>
                <w:b/>
                <w:i w:val="0"/>
                <w:sz w:val="17"/>
              </w:rPr>
              <w:t>0.9332%</w:t>
            </w:r>
          </w:p>
        </w:tc>
        <w:tc>
          <w:tcPr>
            <w:tcW w:type="dxa" w:w="3216"/>
          </w:tcPr>
          <w:p>
            <w:pPr>
              <w:spacing w:before="40" w:after="40"/>
            </w:pPr>
            <w:r>
              <w:rPr>
                <w:b w:val="0"/>
                <w:i w:val="0"/>
                <w:sz w:val="17"/>
              </w:rPr>
              <w:t>Solved from the approved return rather than asserted. The model refuses to load if it solves outside a defensible 0.6–1.6% band.</w:t>
            </w:r>
          </w:p>
        </w:tc>
      </w:tr>
      <w:tr>
        <w:tc>
          <w:tcPr>
            <w:tcW w:type="dxa" w:w="3216"/>
          </w:tcPr>
          <w:p>
            <w:pPr>
              <w:spacing w:before="40" w:after="40"/>
            </w:pPr>
            <w:r>
              <w:rPr>
                <w:b w:val="0"/>
                <w:i w:val="0"/>
                <w:sz w:val="17"/>
              </w:rPr>
              <w:t>Fixed annual run cost</w:t>
            </w:r>
          </w:p>
        </w:tc>
        <w:tc>
          <w:tcPr>
            <w:tcW w:type="dxa" w:w="3216"/>
          </w:tcPr>
          <w:p>
            <w:pPr>
              <w:spacing w:before="40" w:after="40"/>
            </w:pPr>
            <w:r>
              <w:rPr>
                <w:b/>
                <w:i w:val="0"/>
                <w:sz w:val="17"/>
              </w:rPr>
              <w:t>1,237,276</w:t>
            </w:r>
          </w:p>
        </w:tc>
        <w:tc>
          <w:tcPr>
            <w:tcW w:type="dxa" w:w="3216"/>
          </w:tcPr>
          <w:p>
            <w:pPr>
              <w:spacing w:before="40" w:after="40"/>
            </w:pPr>
            <w:r>
              <w:rPr>
                <w:b w:val="0"/>
                <w:i w:val="0"/>
                <w:sz w:val="17"/>
              </w:rPr>
              <w:t>The only element that does not scale with volume — and therefore the entire reason the downside scenario returns a different number from the base.</w:t>
            </w:r>
          </w:p>
        </w:tc>
      </w:tr>
    </w:tbl>
    <w:p/>
    <w:p>
      <w:pPr>
        <w:spacing w:after="120"/>
      </w:pPr>
      <w:r>
        <w:rPr>
          <w:b w:val="0"/>
          <w:i w:val="0"/>
          <w:sz w:val="20"/>
        </w:rPr>
        <w:t xml:space="preserve">Net margin and fixed run cost are </w:t>
      </w:r>
      <w:r>
        <w:rPr>
          <w:b/>
          <w:i w:val="0"/>
          <w:sz w:val="20"/>
        </w:rPr>
        <w:t>solved</w:t>
      </w:r>
      <w:r>
        <w:rPr>
          <w:b w:val="0"/>
          <w:i w:val="0"/>
          <w:sz w:val="20"/>
        </w:rPr>
        <w:t xml:space="preserve"> from the approved return rather than asserted: the model calibrates them so it reproduces 13.4% base and 10.1% downside exactly, and aborts if either lands outside a defensible range. A pricing document whose figures cannot be reproduced from its own outputs is the failure mode §1 describes.</w:t>
      </w:r>
    </w:p>
    <w:p>
      <w:pPr>
        <w:spacing w:before="280" w:after="80"/>
      </w:pPr>
      <w:r>
        <w:rPr>
          <w:b/>
          <w:i w:val="0"/>
          <w:color w:val="14352A"/>
          <w:sz w:val="28"/>
        </w:rPr>
        <w:t>3. The Capital Charge, Corrected</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Basis</w:t>
            </w:r>
          </w:p>
        </w:tc>
        <w:tc>
          <w:tcPr>
            <w:tcW w:type="dxa" w:w="2412"/>
            <w:shd w:val="clear" w:fill="14352A"/>
          </w:tcPr>
          <w:p>
            <w:pPr>
              <w:spacing w:before="40" w:after="40"/>
            </w:pPr>
            <w:r>
              <w:rPr>
                <w:b/>
                <w:i w:val="0"/>
                <w:color w:val="FFFFFF"/>
                <w:sz w:val="17"/>
              </w:rPr>
              <w:t>Capital ratio</w:t>
            </w:r>
          </w:p>
        </w:tc>
        <w:tc>
          <w:tcPr>
            <w:tcW w:type="dxa" w:w="2412"/>
            <w:shd w:val="clear" w:fill="14352A"/>
          </w:tcPr>
          <w:p>
            <w:pPr>
              <w:spacing w:before="40" w:after="40"/>
            </w:pPr>
            <w:r>
              <w:rPr>
                <w:b/>
                <w:i w:val="0"/>
                <w:color w:val="FFFFFF"/>
                <w:sz w:val="17"/>
              </w:rPr>
              <w:t>Return</w:t>
            </w:r>
          </w:p>
        </w:tc>
        <w:tc>
          <w:tcPr>
            <w:tcW w:type="dxa" w:w="2412"/>
            <w:shd w:val="clear" w:fill="14352A"/>
          </w:tcPr>
          <w:p>
            <w:pPr>
              <w:spacing w:before="40" w:after="40"/>
            </w:pPr>
            <w:r>
              <w:rPr>
                <w:b/>
                <w:i w:val="0"/>
                <w:color w:val="FFFFFF"/>
                <w:sz w:val="17"/>
              </w:rPr>
              <w:t>Headroom vs 11.0%</w:t>
            </w:r>
          </w:p>
        </w:tc>
      </w:tr>
      <w:tr>
        <w:tc>
          <w:tcPr>
            <w:tcW w:type="dxa" w:w="2412"/>
          </w:tcPr>
          <w:p>
            <w:pPr>
              <w:spacing w:before="40" w:after="40"/>
            </w:pPr>
            <w:r>
              <w:rPr>
                <w:b w:val="0"/>
                <w:i w:val="0"/>
                <w:sz w:val="17"/>
              </w:rPr>
              <w:t>As tabled, 30 Apr 2026</w:t>
            </w:r>
          </w:p>
        </w:tc>
        <w:tc>
          <w:tcPr>
            <w:tcW w:type="dxa" w:w="2412"/>
          </w:tcPr>
          <w:p>
            <w:pPr>
              <w:spacing w:before="40" w:after="40"/>
            </w:pPr>
            <w:r>
              <w:rPr>
                <w:b w:val="0"/>
                <w:i w:val="0"/>
                <w:sz w:val="17"/>
              </w:rPr>
              <w:t>3.33%</w:t>
            </w:r>
          </w:p>
        </w:tc>
        <w:tc>
          <w:tcPr>
            <w:tcW w:type="dxa" w:w="2412"/>
          </w:tcPr>
          <w:p>
            <w:pPr>
              <w:spacing w:before="40" w:after="40"/>
            </w:pPr>
            <w:r>
              <w:rPr>
                <w:b w:val="0"/>
                <w:i w:val="0"/>
                <w:sz w:val="17"/>
              </w:rPr>
              <w:t>14.6%</w:t>
            </w:r>
          </w:p>
        </w:tc>
        <w:tc>
          <w:tcPr>
            <w:tcW w:type="dxa" w:w="2412"/>
          </w:tcPr>
          <w:p>
            <w:pPr>
              <w:spacing w:before="40" w:after="40"/>
            </w:pPr>
            <w:r>
              <w:rPr>
                <w:b w:val="0"/>
                <w:i w:val="0"/>
                <w:sz w:val="17"/>
              </w:rPr>
              <w:t>360 bp</w:t>
            </w:r>
          </w:p>
        </w:tc>
      </w:tr>
      <w:tr>
        <w:tc>
          <w:tcPr>
            <w:tcW w:type="dxa" w:w="2412"/>
          </w:tcPr>
          <w:p>
            <w:pPr>
              <w:spacing w:before="40" w:after="40"/>
            </w:pPr>
            <w:r>
              <w:rPr>
                <w:b/>
                <w:i w:val="0"/>
                <w:sz w:val="17"/>
              </w:rPr>
              <w:t>Corrected, 11 Jun 2026</w:t>
            </w:r>
          </w:p>
        </w:tc>
        <w:tc>
          <w:tcPr>
            <w:tcW w:type="dxa" w:w="2412"/>
          </w:tcPr>
          <w:p>
            <w:pPr>
              <w:spacing w:before="40" w:after="40"/>
            </w:pPr>
            <w:r>
              <w:rPr>
                <w:b/>
                <w:i w:val="0"/>
                <w:sz w:val="17"/>
              </w:rPr>
              <w:t>4.2%</w:t>
            </w:r>
          </w:p>
        </w:tc>
        <w:tc>
          <w:tcPr>
            <w:tcW w:type="dxa" w:w="2412"/>
          </w:tcPr>
          <w:p>
            <w:pPr>
              <w:spacing w:before="40" w:after="40"/>
            </w:pPr>
            <w:r>
              <w:rPr>
                <w:b/>
                <w:i w:val="0"/>
                <w:sz w:val="17"/>
              </w:rPr>
              <w:t>13.4%</w:t>
            </w:r>
          </w:p>
        </w:tc>
        <w:tc>
          <w:tcPr>
            <w:tcW w:type="dxa" w:w="2412"/>
          </w:tcPr>
          <w:p>
            <w:pPr>
              <w:spacing w:before="40" w:after="40"/>
            </w:pPr>
            <w:r>
              <w:rPr>
                <w:b/>
                <w:i w:val="0"/>
                <w:sz w:val="17"/>
              </w:rPr>
              <w:t>240 bp</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error's mechanism is worth stating precisely, because it is what made it invisible.</w:t>
            </w:r>
            <w:r>
              <w:rPr>
                <w:b w:val="0"/>
                <w:i w:val="0"/>
                <w:sz w:val="20"/>
              </w:rPr>
              <w:t xml:space="preserve"> Required capital is held against </w:t>
            </w:r>
            <w:r>
              <w:rPr>
                <w:b w:val="0"/>
                <w:i/>
                <w:sz w:val="20"/>
              </w:rPr>
              <w:t>account value</w:t>
            </w:r>
            <w:r>
              <w:rPr>
                <w:b w:val="0"/>
                <w:i w:val="0"/>
                <w:sz w:val="20"/>
              </w:rPr>
              <w:t xml:space="preserve"> for the life of the block, not taken once at issue. An error in that ratio therefore compounds across every projection year rather than showing up as a single wrong line in year one — which is exactly why it survived internal review. The number looked reasonable in the year anyone would check. </w:t>
            </w:r>
          </w:p>
        </w:tc>
      </w:tr>
    </w:tbl>
    <w:p/>
    <w:p>
      <w:pPr>
        <w:spacing w:after="120"/>
      </w:pPr>
      <w:r>
        <w:rPr>
          <w:b w:val="0"/>
          <w:i w:val="0"/>
          <w:sz w:val="20"/>
        </w:rPr>
        <w:t>The corrected ratio ties to the fact base by identity: 4.2% of the $185,000,000 Year 1 premium is $7,770,000, the Year 1 capital strain figure the business case carries. That identity is what anchors the model to the program's locked facts rather than to a separate set of actuarial workings.</w:t>
      </w:r>
    </w:p>
    <w:p>
      <w:pPr>
        <w:spacing w:before="280" w:after="80"/>
      </w:pPr>
      <w:r>
        <w:rPr>
          <w:b/>
          <w:i w:val="0"/>
          <w:color w:val="14352A"/>
          <w:sz w:val="28"/>
        </w:rPr>
        <w:t>4. Assumptions, With Failure Modes</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Assumption</w:t>
            </w:r>
          </w:p>
        </w:tc>
        <w:tc>
          <w:tcPr>
            <w:tcW w:type="dxa" w:w="1930"/>
            <w:shd w:val="clear" w:fill="14352A"/>
          </w:tcPr>
          <w:p>
            <w:pPr>
              <w:spacing w:before="40" w:after="40"/>
            </w:pPr>
            <w:r>
              <w:rPr>
                <w:b/>
                <w:i w:val="0"/>
                <w:color w:val="FFFFFF"/>
                <w:sz w:val="17"/>
              </w:rPr>
              <w:t>How it could be wrong</w:t>
            </w:r>
          </w:p>
        </w:tc>
        <w:tc>
          <w:tcPr>
            <w:tcW w:type="dxa" w:w="1930"/>
            <w:shd w:val="clear" w:fill="14352A"/>
          </w:tcPr>
          <w:p>
            <w:pPr>
              <w:spacing w:before="40" w:after="40"/>
            </w:pPr>
            <w:r>
              <w:rPr>
                <w:b/>
                <w:i w:val="0"/>
                <w:color w:val="FFFFFF"/>
                <w:sz w:val="17"/>
              </w:rPr>
              <w:t>What would reveal it</w:t>
            </w:r>
          </w:p>
        </w:tc>
        <w:tc>
          <w:tcPr>
            <w:tcW w:type="dxa" w:w="1930"/>
            <w:shd w:val="clear" w:fill="14352A"/>
          </w:tcPr>
          <w:p>
            <w:pPr>
              <w:spacing w:before="40" w:after="40"/>
            </w:pPr>
            <w:r>
              <w:rPr>
                <w:b/>
                <w:i w:val="0"/>
                <w:color w:val="FFFFFF"/>
                <w:sz w:val="17"/>
              </w:rPr>
              <w:t>Readable</w:t>
            </w:r>
          </w:p>
        </w:tc>
      </w:tr>
      <w:tr>
        <w:tc>
          <w:tcPr>
            <w:tcW w:type="dxa" w:w="1930"/>
          </w:tcPr>
          <w:p>
            <w:pPr>
              <w:spacing w:before="40" w:after="40"/>
            </w:pPr>
            <w:r>
              <w:rPr>
                <w:b/>
                <w:i w:val="0"/>
                <w:sz w:val="17"/>
              </w:rPr>
              <w:t>A-01</w:t>
            </w:r>
          </w:p>
        </w:tc>
        <w:tc>
          <w:tcPr>
            <w:tcW w:type="dxa" w:w="1930"/>
          </w:tcPr>
          <w:p>
            <w:pPr>
              <w:spacing w:before="40" w:after="40"/>
            </w:pPr>
            <w:r>
              <w:rPr>
                <w:b w:val="0"/>
                <w:i w:val="0"/>
                <w:sz w:val="17"/>
              </w:rPr>
              <w:t>Licensed and in good standing across all 46 target states through launch</w:t>
            </w:r>
          </w:p>
        </w:tc>
        <w:tc>
          <w:tcPr>
            <w:tcW w:type="dxa" w:w="1930"/>
          </w:tcPr>
          <w:p>
            <w:pPr>
              <w:spacing w:before="40" w:after="40"/>
            </w:pPr>
            <w:r>
              <w:rPr>
                <w:b w:val="0"/>
                <w:i w:val="0"/>
                <w:sz w:val="17"/>
              </w:rPr>
              <w:t>A state license lapses or a market-conduct action suspends new business in a target state.</w:t>
            </w:r>
          </w:p>
        </w:tc>
        <w:tc>
          <w:tcPr>
            <w:tcW w:type="dxa" w:w="1930"/>
          </w:tcPr>
          <w:p>
            <w:pPr>
              <w:spacing w:before="40" w:after="40"/>
            </w:pPr>
            <w:r>
              <w:rPr>
                <w:b w:val="0"/>
                <w:i w:val="0"/>
                <w:sz w:val="17"/>
              </w:rPr>
              <w:t>Quarterly license attestation from Compliance.</w:t>
            </w:r>
          </w:p>
        </w:tc>
        <w:tc>
          <w:tcPr>
            <w:tcW w:type="dxa" w:w="1930"/>
          </w:tcPr>
          <w:p>
            <w:pPr>
              <w:spacing w:before="40" w:after="40"/>
            </w:pPr>
            <w:r>
              <w:rPr>
                <w:b w:val="0"/>
                <w:i w:val="0"/>
                <w:sz w:val="17"/>
              </w:rPr>
              <w:t>Continuously — already readable</w:t>
            </w:r>
          </w:p>
        </w:tc>
      </w:tr>
      <w:tr>
        <w:tc>
          <w:tcPr>
            <w:tcW w:type="dxa" w:w="1930"/>
          </w:tcPr>
          <w:p>
            <w:pPr>
              <w:spacing w:before="40" w:after="40"/>
            </w:pPr>
            <w:r>
              <w:rPr>
                <w:b/>
                <w:i w:val="0"/>
                <w:sz w:val="17"/>
              </w:rPr>
              <w:t>A-02</w:t>
            </w:r>
          </w:p>
        </w:tc>
        <w:tc>
          <w:tcPr>
            <w:tcW w:type="dxa" w:w="1930"/>
          </w:tcPr>
          <w:p>
            <w:pPr>
              <w:spacing w:before="40" w:after="40"/>
            </w:pPr>
            <w:r>
              <w:rPr>
                <w:b w:val="0"/>
                <w:i w:val="0"/>
                <w:sz w:val="17"/>
              </w:rPr>
              <w:t>The Compact accepts the product under existing uniform standards; no new standard needed</w:t>
            </w:r>
          </w:p>
        </w:tc>
        <w:tc>
          <w:tcPr>
            <w:tcW w:type="dxa" w:w="1930"/>
          </w:tcPr>
          <w:p>
            <w:pPr>
              <w:spacing w:before="40" w:after="40"/>
            </w:pPr>
            <w:r>
              <w:rPr>
                <w:b w:val="0"/>
                <w:i w:val="0"/>
                <w:sz w:val="17"/>
              </w:rPr>
              <w:t>The Compact requires a new uniform standard for the rider feature rather than accepting it under existing ones.</w:t>
            </w:r>
          </w:p>
        </w:tc>
        <w:tc>
          <w:tcPr>
            <w:tcW w:type="dxa" w:w="1930"/>
          </w:tcPr>
          <w:p>
            <w:pPr>
              <w:spacing w:before="40" w:after="40"/>
            </w:pPr>
            <w:r>
              <w:rPr>
                <w:b w:val="0"/>
                <w:i w:val="0"/>
                <w:sz w:val="17"/>
              </w:rPr>
              <w:t>The first substantive Compact objection letter.</w:t>
            </w:r>
          </w:p>
        </w:tc>
        <w:tc>
          <w:tcPr>
            <w:tcW w:type="dxa" w:w="1930"/>
          </w:tcPr>
          <w:p>
            <w:pPr>
              <w:spacing w:before="40" w:after="40"/>
            </w:pPr>
            <w:r>
              <w:rPr>
                <w:b w:val="0"/>
                <w:i w:val="0"/>
                <w:sz w:val="17"/>
              </w:rPr>
              <w:t xml:space="preserve">Stage 3 — </w:t>
            </w:r>
            <w:r>
              <w:rPr>
                <w:b/>
                <w:i w:val="0"/>
                <w:sz w:val="17"/>
              </w:rPr>
              <w:t>not before the gate that depends on it</w:t>
            </w:r>
          </w:p>
        </w:tc>
      </w:tr>
      <w:tr>
        <w:tc>
          <w:tcPr>
            <w:tcW w:type="dxa" w:w="1930"/>
          </w:tcPr>
          <w:p>
            <w:pPr>
              <w:spacing w:before="40" w:after="40"/>
            </w:pPr>
            <w:r>
              <w:rPr>
                <w:b/>
                <w:i w:val="0"/>
                <w:sz w:val="17"/>
              </w:rPr>
              <w:t>A-03</w:t>
            </w:r>
          </w:p>
        </w:tc>
        <w:tc>
          <w:tcPr>
            <w:tcW w:type="dxa" w:w="1930"/>
          </w:tcPr>
          <w:p>
            <w:pPr>
              <w:spacing w:before="40" w:after="40"/>
            </w:pPr>
            <w:r>
              <w:rPr>
                <w:b w:val="0"/>
                <w:i w:val="0"/>
                <w:sz w:val="17"/>
              </w:rPr>
              <w:t>New York is out of launch scope</w:t>
            </w:r>
          </w:p>
        </w:tc>
        <w:tc>
          <w:tcPr>
            <w:tcW w:type="dxa" w:w="1930"/>
          </w:tcPr>
          <w:p>
            <w:pPr>
              <w:spacing w:before="40" w:after="40"/>
            </w:pPr>
            <w:r>
              <w:rPr>
                <w:b w:val="0"/>
                <w:i w:val="0"/>
                <w:sz w:val="17"/>
              </w:rPr>
              <w:t>Distribution pressure to add New York arrives after advisor training is built.</w:t>
            </w:r>
          </w:p>
        </w:tc>
        <w:tc>
          <w:tcPr>
            <w:tcW w:type="dxa" w:w="1930"/>
          </w:tcPr>
          <w:p>
            <w:pPr>
              <w:spacing w:before="40" w:after="40"/>
            </w:pPr>
            <w:r>
              <w:rPr>
                <w:b w:val="0"/>
                <w:i w:val="0"/>
                <w:sz w:val="17"/>
              </w:rPr>
              <w:t>A channel escalation, most likely from a national partner.</w:t>
            </w:r>
          </w:p>
        </w:tc>
        <w:tc>
          <w:tcPr>
            <w:tcW w:type="dxa" w:w="1930"/>
          </w:tcPr>
          <w:p>
            <w:pPr>
              <w:spacing w:before="40" w:after="40"/>
            </w:pPr>
            <w:r>
              <w:rPr>
                <w:b w:val="0"/>
                <w:i w:val="0"/>
                <w:sz w:val="17"/>
              </w:rPr>
              <w:t>Stage 4 or post-launch</w:t>
            </w:r>
          </w:p>
        </w:tc>
      </w:tr>
      <w:tr>
        <w:tc>
          <w:tcPr>
            <w:tcW w:type="dxa" w:w="1930"/>
          </w:tcPr>
          <w:p>
            <w:pPr>
              <w:spacing w:before="40" w:after="40"/>
            </w:pPr>
            <w:r>
              <w:rPr>
                <w:b/>
                <w:i w:val="0"/>
                <w:sz w:val="17"/>
              </w:rPr>
              <w:t>A-04</w:t>
            </w:r>
          </w:p>
        </w:tc>
        <w:tc>
          <w:tcPr>
            <w:tcW w:type="dxa" w:w="1930"/>
          </w:tcPr>
          <w:p>
            <w:pPr>
              <w:spacing w:before="40" w:after="40"/>
            </w:pPr>
            <w:r>
              <w:rPr>
                <w:b w:val="0"/>
                <w:i w:val="0"/>
                <w:sz w:val="17"/>
              </w:rPr>
              <w:t>The existing admin platform is extended, not replaced</w:t>
            </w:r>
          </w:p>
        </w:tc>
        <w:tc>
          <w:tcPr>
            <w:tcW w:type="dxa" w:w="1930"/>
          </w:tcPr>
          <w:p>
            <w:pPr>
              <w:spacing w:before="40" w:after="40"/>
            </w:pPr>
            <w:r>
              <w:rPr>
                <w:b w:val="0"/>
                <w:i w:val="0"/>
                <w:sz w:val="17"/>
              </w:rPr>
              <w:t>Configuration reveals the platform cannot carry a launch-scope feature without custom build.</w:t>
            </w:r>
          </w:p>
        </w:tc>
        <w:tc>
          <w:tcPr>
            <w:tcW w:type="dxa" w:w="1930"/>
          </w:tcPr>
          <w:p>
            <w:pPr>
              <w:spacing w:before="40" w:after="40"/>
            </w:pPr>
            <w:r>
              <w:rPr>
                <w:b w:val="0"/>
                <w:i w:val="0"/>
                <w:sz w:val="17"/>
              </w:rPr>
              <w:t>Cordelane configuration testing under WP-1.</w:t>
            </w:r>
          </w:p>
        </w:tc>
        <w:tc>
          <w:tcPr>
            <w:tcW w:type="dxa" w:w="1930"/>
          </w:tcPr>
          <w:p>
            <w:pPr>
              <w:spacing w:before="40" w:after="40"/>
            </w:pPr>
            <w:r>
              <w:rPr>
                <w:b w:val="0"/>
                <w:i w:val="0"/>
                <w:sz w:val="17"/>
              </w:rPr>
              <w:t>Stage 2 — readable now</w:t>
            </w:r>
          </w:p>
        </w:tc>
      </w:tr>
      <w:tr>
        <w:tc>
          <w:tcPr>
            <w:tcW w:type="dxa" w:w="1930"/>
          </w:tcPr>
          <w:p>
            <w:pPr>
              <w:spacing w:before="40" w:after="40"/>
            </w:pPr>
            <w:r>
              <w:rPr>
                <w:b/>
                <w:i w:val="0"/>
                <w:sz w:val="17"/>
              </w:rPr>
              <w:t>A-05</w:t>
            </w:r>
          </w:p>
        </w:tc>
        <w:tc>
          <w:tcPr>
            <w:tcW w:type="dxa" w:w="1930"/>
          </w:tcPr>
          <w:p>
            <w:pPr>
              <w:spacing w:before="40" w:after="40"/>
            </w:pPr>
            <w:r>
              <w:rPr>
                <w:b w:val="0"/>
                <w:i w:val="0"/>
                <w:sz w:val="17"/>
              </w:rPr>
              <w:t>Distribution runs through existing IMO/broker-dealer relationships; no new channel</w:t>
            </w:r>
          </w:p>
        </w:tc>
        <w:tc>
          <w:tcPr>
            <w:tcW w:type="dxa" w:w="1930"/>
          </w:tcPr>
          <w:p>
            <w:pPr>
              <w:spacing w:before="40" w:after="40"/>
            </w:pPr>
            <w:r>
              <w:rPr>
                <w:b w:val="0"/>
                <w:i w:val="0"/>
                <w:sz w:val="17"/>
              </w:rPr>
              <w:t>Existing partners decline to add the product, requiring a new channel the case did not fund.</w:t>
            </w:r>
          </w:p>
        </w:tc>
        <w:tc>
          <w:tcPr>
            <w:tcW w:type="dxa" w:w="1930"/>
          </w:tcPr>
          <w:p>
            <w:pPr>
              <w:spacing w:before="40" w:after="40"/>
            </w:pPr>
            <w:r>
              <w:rPr>
                <w:b w:val="0"/>
                <w:i w:val="0"/>
                <w:sz w:val="17"/>
              </w:rPr>
              <w:t>Written commitments against the Year 1 plan — already partially failed.</w:t>
            </w:r>
          </w:p>
        </w:tc>
        <w:tc>
          <w:tcPr>
            <w:tcW w:type="dxa" w:w="1930"/>
          </w:tcPr>
          <w:p>
            <w:pPr>
              <w:spacing w:before="40" w:after="40"/>
            </w:pPr>
            <w:r>
              <w:rPr>
                <w:b/>
                <w:i w:val="0"/>
                <w:sz w:val="17"/>
              </w:rPr>
              <w:t>Already reading against it</w:t>
            </w:r>
          </w:p>
        </w:tc>
      </w:tr>
      <w:tr>
        <w:tc>
          <w:tcPr>
            <w:tcW w:type="dxa" w:w="1930"/>
          </w:tcPr>
          <w:p>
            <w:pPr>
              <w:spacing w:before="40" w:after="40"/>
            </w:pPr>
            <w:r>
              <w:rPr>
                <w:b/>
                <w:i w:val="0"/>
                <w:sz w:val="17"/>
              </w:rPr>
              <w:t>A-06</w:t>
            </w:r>
          </w:p>
        </w:tc>
        <w:tc>
          <w:tcPr>
            <w:tcW w:type="dxa" w:w="1930"/>
          </w:tcPr>
          <w:p>
            <w:pPr>
              <w:spacing w:before="40" w:after="40"/>
            </w:pPr>
            <w:r>
              <w:rPr>
                <w:b w:val="0"/>
                <w:i w:val="0"/>
                <w:sz w:val="17"/>
              </w:rPr>
              <w:t>Hedging is executed by the in-house Investments desk</w:t>
            </w:r>
          </w:p>
        </w:tc>
        <w:tc>
          <w:tcPr>
            <w:tcW w:type="dxa" w:w="1930"/>
          </w:tcPr>
          <w:p>
            <w:pPr>
              <w:spacing w:before="40" w:after="40"/>
            </w:pPr>
            <w:r>
              <w:rPr>
                <w:b w:val="0"/>
                <w:i w:val="0"/>
                <w:sz w:val="17"/>
              </w:rPr>
              <w:t>The in-house desk cannot achieve readiness, forcing an external hedging provider and a cost the pricing does not carry.</w:t>
            </w:r>
          </w:p>
        </w:tc>
        <w:tc>
          <w:tcPr>
            <w:tcW w:type="dxa" w:w="1930"/>
          </w:tcPr>
          <w:p>
            <w:pPr>
              <w:spacing w:before="40" w:after="40"/>
            </w:pPr>
            <w:r>
              <w:rPr>
                <w:b w:val="0"/>
                <w:i w:val="0"/>
                <w:sz w:val="17"/>
              </w:rPr>
              <w:t>ISDA execution progress under GC-05 (DEP-06).</w:t>
            </w:r>
          </w:p>
        </w:tc>
        <w:tc>
          <w:tcPr>
            <w:tcW w:type="dxa" w:w="1930"/>
          </w:tcPr>
          <w:p>
            <w:pPr>
              <w:spacing w:before="40" w:after="40"/>
            </w:pPr>
            <w:r>
              <w:rPr>
                <w:b w:val="0"/>
                <w:i w:val="0"/>
                <w:sz w:val="17"/>
              </w:rPr>
              <w:t>Stage 2–3</w:t>
            </w:r>
          </w:p>
        </w:tc>
      </w:tr>
      <w:tr>
        <w:tc>
          <w:tcPr>
            <w:tcW w:type="dxa" w:w="1930"/>
          </w:tcPr>
          <w:p>
            <w:pPr>
              <w:spacing w:before="40" w:after="40"/>
            </w:pPr>
            <w:r>
              <w:rPr>
                <w:b/>
                <w:i w:val="0"/>
                <w:sz w:val="17"/>
              </w:rPr>
              <w:t>A-07</w:t>
            </w:r>
          </w:p>
        </w:tc>
        <w:tc>
          <w:tcPr>
            <w:tcW w:type="dxa" w:w="1930"/>
          </w:tcPr>
          <w:p>
            <w:pPr>
              <w:spacing w:before="40" w:after="40"/>
            </w:pPr>
            <w:r>
              <w:rPr>
                <w:b w:val="0"/>
                <w:i w:val="0"/>
                <w:sz w:val="17"/>
              </w:rPr>
              <w:t>Rates stay inside the Gate 1 pricing corridor</w:t>
            </w:r>
          </w:p>
        </w:tc>
        <w:tc>
          <w:tcPr>
            <w:tcW w:type="dxa" w:w="1930"/>
          </w:tcPr>
          <w:p>
            <w:pPr>
              <w:spacing w:before="40" w:after="40"/>
            </w:pPr>
            <w:r>
              <w:rPr>
                <w:b w:val="0"/>
                <w:i w:val="0"/>
                <w:sz w:val="17"/>
              </w:rPr>
              <w:t>Rates move outside the Gate 1 corridor, compressing the option budget and the illustrated cap.</w:t>
            </w:r>
          </w:p>
        </w:tc>
        <w:tc>
          <w:tcPr>
            <w:tcW w:type="dxa" w:w="1930"/>
          </w:tcPr>
          <w:p>
            <w:pPr>
              <w:spacing w:before="40" w:after="40"/>
            </w:pPr>
            <w:r>
              <w:rPr>
                <w:b w:val="0"/>
                <w:i w:val="0"/>
                <w:sz w:val="17"/>
              </w:rPr>
              <w:t>The monthly option-budget monitor against the corridor.</w:t>
            </w:r>
          </w:p>
        </w:tc>
        <w:tc>
          <w:tcPr>
            <w:tcW w:type="dxa" w:w="1930"/>
          </w:tcPr>
          <w:p>
            <w:pPr>
              <w:spacing w:before="40" w:after="40"/>
            </w:pPr>
            <w:r>
              <w:rPr>
                <w:b w:val="0"/>
                <w:i w:val="0"/>
                <w:sz w:val="17"/>
              </w:rPr>
              <w:t>Continuously</w:t>
            </w:r>
          </w:p>
        </w:tc>
      </w:tr>
      <w:tr>
        <w:tc>
          <w:tcPr>
            <w:tcW w:type="dxa" w:w="1930"/>
          </w:tcPr>
          <w:p>
            <w:pPr>
              <w:spacing w:before="40" w:after="40"/>
            </w:pPr>
            <w:r>
              <w:rPr>
                <w:b/>
                <w:i w:val="0"/>
                <w:sz w:val="17"/>
              </w:rPr>
              <w:t>A-08</w:t>
            </w:r>
          </w:p>
        </w:tc>
        <w:tc>
          <w:tcPr>
            <w:tcW w:type="dxa" w:w="1930"/>
          </w:tcPr>
          <w:p>
            <w:pPr>
              <w:spacing w:before="40" w:after="40"/>
            </w:pPr>
            <w:r>
              <w:rPr>
                <w:b w:val="0"/>
                <w:i w:val="0"/>
                <w:sz w:val="17"/>
              </w:rPr>
              <w:t>No competing internal launch draws the same actuarial and IT people in 2027</w:t>
            </w:r>
          </w:p>
        </w:tc>
        <w:tc>
          <w:tcPr>
            <w:tcW w:type="dxa" w:w="1930"/>
          </w:tcPr>
          <w:p>
            <w:pPr>
              <w:spacing w:before="40" w:after="40"/>
            </w:pPr>
            <w:r>
              <w:rPr>
                <w:b w:val="0"/>
                <w:i w:val="0"/>
                <w:sz w:val="17"/>
              </w:rPr>
              <w:t>A competing internal launch draws the same actuarial and IT people in 2027.</w:t>
            </w:r>
          </w:p>
        </w:tc>
        <w:tc>
          <w:tcPr>
            <w:tcW w:type="dxa" w:w="1930"/>
          </w:tcPr>
          <w:p>
            <w:pPr>
              <w:spacing w:before="40" w:after="40"/>
            </w:pPr>
            <w:r>
              <w:rPr>
                <w:b w:val="0"/>
                <w:i w:val="0"/>
                <w:sz w:val="17"/>
              </w:rPr>
              <w:t>The 2027 portfolio planning round.</w:t>
            </w:r>
          </w:p>
        </w:tc>
        <w:tc>
          <w:tcPr>
            <w:tcW w:type="dxa" w:w="1930"/>
          </w:tcPr>
          <w:p>
            <w:pPr>
              <w:spacing w:before="40" w:after="40"/>
            </w:pPr>
            <w:r>
              <w:rPr>
                <w:b w:val="0"/>
                <w:i w:val="0"/>
                <w:sz w:val="17"/>
              </w:rPr>
              <w:t xml:space="preserve">Stage 3 — </w:t>
            </w:r>
            <w:r>
              <w:rPr>
                <w:b/>
                <w:i w:val="0"/>
                <w:sz w:val="17"/>
              </w:rPr>
              <w:t>after the gate that commits to it</w:t>
            </w:r>
          </w:p>
        </w:tc>
      </w:tr>
    </w:tbl>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Two assumptions cannot be tested before the gate that depends on them — A-02 and A-08.</w:t>
            </w:r>
            <w:r>
              <w:rPr>
                <w:b w:val="0"/>
                <w:i w:val="0"/>
                <w:sz w:val="20"/>
              </w:rPr>
              <w:t xml:space="preserve"> A-02 is binary and, if it fails, invalidates the filing route rather than delaying it. A-08 is tested by the 2027 portfolio planning round, which happens </w:t>
            </w:r>
            <w:r>
              <w:rPr>
                <w:b w:val="0"/>
                <w:i/>
                <w:sz w:val="20"/>
              </w:rPr>
              <w:t>after</w:t>
            </w:r>
            <w:r>
              <w:rPr>
                <w:b w:val="0"/>
                <w:i w:val="0"/>
                <w:sz w:val="20"/>
              </w:rPr>
              <w:t xml:space="preserve"> Gate 2 has committed the program to a resourcing profile the program has no authority to hold. Both are recorded as untested rather than assumed sound, and the honest position is that </w:t>
            </w:r>
            <w:r>
              <w:rPr>
                <w:b/>
                <w:i w:val="0"/>
                <w:sz w:val="20"/>
              </w:rPr>
              <w:t>the program will commit money to both before it can check either.</w:t>
            </w:r>
          </w:p>
        </w:tc>
      </w:tr>
    </w:tbl>
    <w:p/>
    <w:p>
      <w:pPr>
        <w:spacing w:after="120"/>
      </w:pPr>
      <w:r>
        <w:rPr>
          <w:b w:val="0"/>
          <w:i w:val="0"/>
          <w:sz w:val="20"/>
        </w:rPr>
        <w:t>A-05 deserves separate mention: it is the only assumption already reading against itself. Written channel commitments stand at $168,000,000 against a $185,000,000 Year 1 target — a 9% shortfall disclosed at Gate 1 and carried rather than closed.</w:t>
      </w:r>
    </w:p>
    <w:p>
      <w:pPr>
        <w:spacing w:before="280" w:after="80"/>
      </w:pPr>
      <w:r>
        <w:rPr>
          <w:b/>
          <w:i w:val="0"/>
          <w:color w:val="14352A"/>
          <w:sz w:val="28"/>
        </w:rPr>
        <w:t>5. Sensitivity</w:t>
      </w:r>
    </w:p>
    <w:p>
      <w:pPr>
        <w:spacing w:after="120"/>
      </w:pPr>
      <w:r>
        <w:rPr>
          <w:b w:val="0"/>
          <w:i w:val="0"/>
          <w:sz w:val="20"/>
        </w:rPr>
        <w:t>Volume is the single variable that moves the return, because fixed run cost is the only element that does not scale with it. Margin and required capital both scale, so a proportional shortfall would leave the return untouched — it is operating leverage alone that converts lower volume into a lower return.</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Volume vs plan</w:t>
            </w:r>
          </w:p>
        </w:tc>
        <w:tc>
          <w:tcPr>
            <w:tcW w:type="dxa" w:w="2412"/>
            <w:shd w:val="clear" w:fill="14352A"/>
          </w:tcPr>
          <w:p>
            <w:pPr>
              <w:spacing w:before="40" w:after="40"/>
            </w:pPr>
            <w:r>
              <w:rPr>
                <w:b/>
                <w:i w:val="0"/>
                <w:color w:val="FFFFFF"/>
                <w:sz w:val="17"/>
              </w:rPr>
              <w:t>Projected IRR</w:t>
            </w:r>
          </w:p>
        </w:tc>
        <w:tc>
          <w:tcPr>
            <w:tcW w:type="dxa" w:w="2412"/>
            <w:shd w:val="clear" w:fill="14352A"/>
          </w:tcPr>
          <w:p>
            <w:pPr>
              <w:spacing w:before="40" w:after="40"/>
            </w:pPr>
            <w:r>
              <w:rPr>
                <w:b/>
                <w:i w:val="0"/>
                <w:color w:val="FFFFFF"/>
                <w:sz w:val="17"/>
              </w:rPr>
              <w:t>NPV at hurdle</w:t>
            </w:r>
          </w:p>
        </w:tc>
        <w:tc>
          <w:tcPr>
            <w:tcW w:type="dxa" w:w="2412"/>
            <w:shd w:val="clear" w:fill="14352A"/>
          </w:tcPr>
          <w:p>
            <w:pPr>
              <w:spacing w:before="40" w:after="40"/>
            </w:pPr>
            <w:r>
              <w:rPr>
                <w:b/>
                <w:i w:val="0"/>
                <w:color w:val="FFFFFF"/>
                <w:sz w:val="17"/>
              </w:rPr>
              <w:t>Verdict</w:t>
            </w:r>
          </w:p>
        </w:tc>
      </w:tr>
      <w:tr>
        <w:tc>
          <w:tcPr>
            <w:tcW w:type="dxa" w:w="2412"/>
          </w:tcPr>
          <w:p>
            <w:pPr>
              <w:spacing w:before="40" w:after="40"/>
            </w:pPr>
            <w:r>
              <w:rPr>
                <w:b w:val="0"/>
                <w:i w:val="0"/>
                <w:sz w:val="17"/>
              </w:rPr>
              <w:t>+0%</w:t>
            </w:r>
          </w:p>
        </w:tc>
        <w:tc>
          <w:tcPr>
            <w:tcW w:type="dxa" w:w="2412"/>
          </w:tcPr>
          <w:p>
            <w:pPr>
              <w:spacing w:before="40" w:after="40"/>
            </w:pPr>
            <w:r>
              <w:rPr>
                <w:b w:val="0"/>
                <w:i w:val="0"/>
                <w:sz w:val="17"/>
              </w:rPr>
              <w:t>13.40%</w:t>
            </w:r>
          </w:p>
        </w:tc>
        <w:tc>
          <w:tcPr>
            <w:tcW w:type="dxa" w:w="2412"/>
          </w:tcPr>
          <w:p>
            <w:pPr>
              <w:spacing w:before="40" w:after="40"/>
            </w:pPr>
            <w:r>
              <w:rPr>
                <w:b w:val="0"/>
                <w:i w:val="0"/>
                <w:sz w:val="17"/>
              </w:rPr>
              <w:t>$11,009,118</w:t>
            </w:r>
          </w:p>
        </w:tc>
        <w:tc>
          <w:tcPr>
            <w:tcW w:type="dxa" w:w="2412"/>
          </w:tcPr>
          <w:p>
            <w:pPr>
              <w:spacing w:before="40" w:after="40"/>
            </w:pPr>
            <w:r>
              <w:rPr>
                <w:b w:val="0"/>
                <w:i w:val="0"/>
                <w:sz w:val="17"/>
              </w:rPr>
              <w:t>clears</w:t>
            </w:r>
          </w:p>
        </w:tc>
      </w:tr>
      <w:tr>
        <w:tc>
          <w:tcPr>
            <w:tcW w:type="dxa" w:w="2412"/>
          </w:tcPr>
          <w:p>
            <w:pPr>
              <w:spacing w:before="40" w:after="40"/>
            </w:pPr>
            <w:r>
              <w:rPr>
                <w:b w:val="0"/>
                <w:i w:val="0"/>
                <w:sz w:val="17"/>
              </w:rPr>
              <w:t>-5%</w:t>
            </w:r>
          </w:p>
        </w:tc>
        <w:tc>
          <w:tcPr>
            <w:tcW w:type="dxa" w:w="2412"/>
          </w:tcPr>
          <w:p>
            <w:pPr>
              <w:spacing w:before="40" w:after="40"/>
            </w:pPr>
            <w:r>
              <w:rPr>
                <w:b w:val="0"/>
                <w:i w:val="0"/>
                <w:sz w:val="17"/>
              </w:rPr>
              <w:t>12.94%</w:t>
            </w:r>
          </w:p>
        </w:tc>
        <w:tc>
          <w:tcPr>
            <w:tcW w:type="dxa" w:w="2412"/>
          </w:tcPr>
          <w:p>
            <w:pPr>
              <w:spacing w:before="40" w:after="40"/>
            </w:pPr>
            <w:r>
              <w:rPr>
                <w:b w:val="0"/>
                <w:i w:val="0"/>
                <w:sz w:val="17"/>
              </w:rPr>
              <w:t>$8,618,608</w:t>
            </w:r>
          </w:p>
        </w:tc>
        <w:tc>
          <w:tcPr>
            <w:tcW w:type="dxa" w:w="2412"/>
          </w:tcPr>
          <w:p>
            <w:pPr>
              <w:spacing w:before="40" w:after="40"/>
            </w:pPr>
            <w:r>
              <w:rPr>
                <w:b w:val="0"/>
                <w:i w:val="0"/>
                <w:sz w:val="17"/>
              </w:rPr>
              <w:t>clears</w:t>
            </w:r>
          </w:p>
        </w:tc>
      </w:tr>
      <w:tr>
        <w:tc>
          <w:tcPr>
            <w:tcW w:type="dxa" w:w="2412"/>
          </w:tcPr>
          <w:p>
            <w:pPr>
              <w:spacing w:before="40" w:after="40"/>
            </w:pPr>
            <w:r>
              <w:rPr>
                <w:b w:val="0"/>
                <w:i w:val="0"/>
                <w:sz w:val="17"/>
              </w:rPr>
              <w:t>-10%</w:t>
            </w:r>
          </w:p>
        </w:tc>
        <w:tc>
          <w:tcPr>
            <w:tcW w:type="dxa" w:w="2412"/>
          </w:tcPr>
          <w:p>
            <w:pPr>
              <w:spacing w:before="40" w:after="40"/>
            </w:pPr>
            <w:r>
              <w:rPr>
                <w:b w:val="0"/>
                <w:i w:val="0"/>
                <w:sz w:val="17"/>
              </w:rPr>
              <w:t>12.45%</w:t>
            </w:r>
          </w:p>
        </w:tc>
        <w:tc>
          <w:tcPr>
            <w:tcW w:type="dxa" w:w="2412"/>
          </w:tcPr>
          <w:p>
            <w:pPr>
              <w:spacing w:before="40" w:after="40"/>
            </w:pPr>
            <w:r>
              <w:rPr>
                <w:b w:val="0"/>
                <w:i w:val="0"/>
                <w:sz w:val="17"/>
              </w:rPr>
              <w:t>$6,228,098</w:t>
            </w:r>
          </w:p>
        </w:tc>
        <w:tc>
          <w:tcPr>
            <w:tcW w:type="dxa" w:w="2412"/>
          </w:tcPr>
          <w:p>
            <w:pPr>
              <w:spacing w:before="40" w:after="40"/>
            </w:pPr>
            <w:r>
              <w:rPr>
                <w:b w:val="0"/>
                <w:i w:val="0"/>
                <w:sz w:val="17"/>
              </w:rPr>
              <w:t>clears</w:t>
            </w:r>
          </w:p>
        </w:tc>
      </w:tr>
      <w:tr>
        <w:tc>
          <w:tcPr>
            <w:tcW w:type="dxa" w:w="2412"/>
          </w:tcPr>
          <w:p>
            <w:pPr>
              <w:spacing w:before="40" w:after="40"/>
            </w:pPr>
            <w:r>
              <w:rPr>
                <w:b w:val="0"/>
                <w:i w:val="0"/>
                <w:sz w:val="17"/>
              </w:rPr>
              <w:t>-15%</w:t>
            </w:r>
          </w:p>
        </w:tc>
        <w:tc>
          <w:tcPr>
            <w:tcW w:type="dxa" w:w="2412"/>
          </w:tcPr>
          <w:p>
            <w:pPr>
              <w:spacing w:before="40" w:after="40"/>
            </w:pPr>
            <w:r>
              <w:rPr>
                <w:b w:val="0"/>
                <w:i w:val="0"/>
                <w:sz w:val="17"/>
              </w:rPr>
              <w:t>11.92%</w:t>
            </w:r>
          </w:p>
        </w:tc>
        <w:tc>
          <w:tcPr>
            <w:tcW w:type="dxa" w:w="2412"/>
          </w:tcPr>
          <w:p>
            <w:pPr>
              <w:spacing w:before="40" w:after="40"/>
            </w:pPr>
            <w:r>
              <w:rPr>
                <w:b w:val="0"/>
                <w:i w:val="0"/>
                <w:sz w:val="17"/>
              </w:rPr>
              <w:t>$3,837,588</w:t>
            </w:r>
          </w:p>
        </w:tc>
        <w:tc>
          <w:tcPr>
            <w:tcW w:type="dxa" w:w="2412"/>
          </w:tcPr>
          <w:p>
            <w:pPr>
              <w:spacing w:before="40" w:after="40"/>
            </w:pPr>
            <w:r>
              <w:rPr>
                <w:b w:val="0"/>
                <w:i w:val="0"/>
                <w:sz w:val="17"/>
              </w:rPr>
              <w:t>clears</w:t>
            </w:r>
          </w:p>
        </w:tc>
      </w:tr>
      <w:tr>
        <w:tc>
          <w:tcPr>
            <w:tcW w:type="dxa" w:w="2412"/>
          </w:tcPr>
          <w:p>
            <w:pPr>
              <w:spacing w:before="40" w:after="40"/>
            </w:pPr>
            <w:r>
              <w:rPr>
                <w:b w:val="0"/>
                <w:i w:val="0"/>
                <w:sz w:val="17"/>
              </w:rPr>
              <w:t>-20%</w:t>
            </w:r>
          </w:p>
        </w:tc>
        <w:tc>
          <w:tcPr>
            <w:tcW w:type="dxa" w:w="2412"/>
          </w:tcPr>
          <w:p>
            <w:pPr>
              <w:spacing w:before="40" w:after="40"/>
            </w:pPr>
            <w:r>
              <w:rPr>
                <w:b w:val="0"/>
                <w:i w:val="0"/>
                <w:sz w:val="17"/>
              </w:rPr>
              <w:t>11.36%</w:t>
            </w:r>
          </w:p>
        </w:tc>
        <w:tc>
          <w:tcPr>
            <w:tcW w:type="dxa" w:w="2412"/>
          </w:tcPr>
          <w:p>
            <w:pPr>
              <w:spacing w:before="40" w:after="40"/>
            </w:pPr>
            <w:r>
              <w:rPr>
                <w:b w:val="0"/>
                <w:i w:val="0"/>
                <w:sz w:val="17"/>
              </w:rPr>
              <w:t>$1,447,077</w:t>
            </w:r>
          </w:p>
        </w:tc>
        <w:tc>
          <w:tcPr>
            <w:tcW w:type="dxa" w:w="2412"/>
          </w:tcPr>
          <w:p>
            <w:pPr>
              <w:spacing w:before="40" w:after="40"/>
            </w:pPr>
            <w:r>
              <w:rPr>
                <w:b w:val="0"/>
                <w:i w:val="0"/>
                <w:sz w:val="17"/>
              </w:rPr>
              <w:t>clears</w:t>
            </w:r>
          </w:p>
        </w:tc>
      </w:tr>
      <w:tr>
        <w:tc>
          <w:tcPr>
            <w:tcW w:type="dxa" w:w="2412"/>
          </w:tcPr>
          <w:p>
            <w:pPr>
              <w:spacing w:before="40" w:after="40"/>
            </w:pPr>
            <w:r>
              <w:rPr>
                <w:b w:val="0"/>
                <w:i w:val="0"/>
                <w:sz w:val="17"/>
              </w:rPr>
              <w:t>-25%</w:t>
            </w:r>
          </w:p>
        </w:tc>
        <w:tc>
          <w:tcPr>
            <w:tcW w:type="dxa" w:w="2412"/>
          </w:tcPr>
          <w:p>
            <w:pPr>
              <w:spacing w:before="40" w:after="40"/>
            </w:pPr>
            <w:r>
              <w:rPr>
                <w:b w:val="0"/>
                <w:i w:val="0"/>
                <w:sz w:val="17"/>
              </w:rPr>
              <w:t>10.76%</w:t>
            </w:r>
          </w:p>
        </w:tc>
        <w:tc>
          <w:tcPr>
            <w:tcW w:type="dxa" w:w="2412"/>
          </w:tcPr>
          <w:p>
            <w:pPr>
              <w:spacing w:before="40" w:after="40"/>
            </w:pPr>
            <w:r>
              <w:rPr>
                <w:b w:val="0"/>
                <w:i w:val="0"/>
                <w:sz w:val="17"/>
              </w:rPr>
              <w:t>$-943,433</w:t>
            </w:r>
          </w:p>
        </w:tc>
        <w:tc>
          <w:tcPr>
            <w:tcW w:type="dxa" w:w="2412"/>
          </w:tcPr>
          <w:p>
            <w:pPr>
              <w:spacing w:before="40" w:after="40"/>
            </w:pPr>
            <w:r>
              <w:rPr>
                <w:b w:val="0"/>
                <w:i w:val="0"/>
                <w:sz w:val="17"/>
              </w:rPr>
              <w:t>FAILS</w:t>
            </w:r>
          </w:p>
        </w:tc>
      </w:tr>
      <w:tr>
        <w:tc>
          <w:tcPr>
            <w:tcW w:type="dxa" w:w="2412"/>
          </w:tcPr>
          <w:p>
            <w:pPr>
              <w:spacing w:before="40" w:after="40"/>
            </w:pPr>
            <w:r>
              <w:rPr>
                <w:b w:val="0"/>
                <w:i w:val="0"/>
                <w:sz w:val="17"/>
              </w:rPr>
              <w:t>-30%</w:t>
            </w:r>
          </w:p>
        </w:tc>
        <w:tc>
          <w:tcPr>
            <w:tcW w:type="dxa" w:w="2412"/>
          </w:tcPr>
          <w:p>
            <w:pPr>
              <w:spacing w:before="40" w:after="40"/>
            </w:pPr>
            <w:r>
              <w:rPr>
                <w:b w:val="0"/>
                <w:i w:val="0"/>
                <w:sz w:val="17"/>
              </w:rPr>
              <w:t>10.10%</w:t>
            </w:r>
          </w:p>
        </w:tc>
        <w:tc>
          <w:tcPr>
            <w:tcW w:type="dxa" w:w="2412"/>
          </w:tcPr>
          <w:p>
            <w:pPr>
              <w:spacing w:before="40" w:after="40"/>
            </w:pPr>
            <w:r>
              <w:rPr>
                <w:b w:val="0"/>
                <w:i w:val="0"/>
                <w:sz w:val="17"/>
              </w:rPr>
              <w:t>$-3,333,943</w:t>
            </w:r>
          </w:p>
        </w:tc>
        <w:tc>
          <w:tcPr>
            <w:tcW w:type="dxa" w:w="2412"/>
          </w:tcPr>
          <w:p>
            <w:pPr>
              <w:spacing w:before="40" w:after="40"/>
            </w:pPr>
            <w:r>
              <w:rPr>
                <w:b w:val="0"/>
                <w:i w:val="0"/>
                <w:sz w:val="17"/>
              </w:rPr>
              <w:t>FAILS</w:t>
            </w:r>
          </w:p>
        </w:tc>
      </w:tr>
    </w:tbl>
    <w:p/>
    <w:p>
      <w:pPr>
        <w:spacing w:after="120"/>
      </w:pPr>
      <w:r>
        <w:rPr>
          <w:b w:val="0"/>
          <w:i w:val="0"/>
          <w:sz w:val="20"/>
        </w:rPr>
        <w:t xml:space="preserve">The case clears down to a </w:t>
      </w:r>
      <w:r>
        <w:rPr>
          <w:b/>
          <w:i w:val="0"/>
          <w:sz w:val="20"/>
        </w:rPr>
        <w:t>23%</w:t>
      </w:r>
      <w:r>
        <w:rPr>
          <w:b w:val="0"/>
          <w:i w:val="0"/>
          <w:sz w:val="20"/>
        </w:rPr>
        <w:t xml:space="preserve"> shortfall. The </w:t>
      </w:r>
      <w:r>
        <w:rPr>
          <w:b w:val="0"/>
          <w:i w:val="0"/>
          <w:sz w:val="20"/>
        </w:rPr>
        <w:t>Benefits Realization Plan</w:t>
      </w:r>
      <w:r>
        <w:rPr>
          <w:b w:val="0"/>
          <w:i w:val="0"/>
          <w:sz w:val="20"/>
        </w:rPr>
        <w:t xml:space="preserve"> converts this table into pre-committed monitoring thresholds, and the </w:t>
      </w:r>
      <w:r>
        <w:rPr>
          <w:b w:val="0"/>
          <w:i w:val="0"/>
          <w:sz w:val="20"/>
        </w:rPr>
        <w:t>Cost-Benefit Analysis</w:t>
      </w:r>
      <w:r>
        <w:rPr>
          <w:b w:val="0"/>
          <w:i w:val="0"/>
          <w:sz w:val="20"/>
        </w:rPr>
        <w:t xml:space="preserve"> carries the full scenario record.</w:t>
      </w:r>
    </w:p>
    <w:p>
      <w:pPr>
        <w:spacing w:before="280" w:after="80"/>
      </w:pPr>
      <w:r>
        <w:rPr>
          <w:b/>
          <w:i w:val="0"/>
          <w:color w:val="14352A"/>
          <w:sz w:val="28"/>
        </w:rPr>
        <w:t>6. What Is Still Not Covered</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ID</w:t>
            </w:r>
          </w:p>
        </w:tc>
        <w:tc>
          <w:tcPr>
            <w:tcW w:type="dxa" w:w="4824"/>
            <w:shd w:val="clear" w:fill="14352A"/>
          </w:tcPr>
          <w:p>
            <w:pPr>
              <w:spacing w:before="40" w:after="40"/>
            </w:pPr>
            <w:r>
              <w:rPr>
                <w:b/>
                <w:i w:val="0"/>
                <w:color w:val="FFFFFF"/>
                <w:sz w:val="17"/>
              </w:rPr>
              <w:t>Gap</w:t>
            </w:r>
          </w:p>
        </w:tc>
      </w:tr>
      <w:tr>
        <w:tc>
          <w:tcPr>
            <w:tcW w:type="dxa" w:w="4824"/>
          </w:tcPr>
          <w:p>
            <w:pPr>
              <w:spacing w:before="40" w:after="40"/>
            </w:pPr>
            <w:r>
              <w:rPr>
                <w:b/>
                <w:i w:val="0"/>
                <w:sz w:val="17"/>
              </w:rPr>
              <w:t>AG-01</w:t>
            </w:r>
          </w:p>
        </w:tc>
        <w:tc>
          <w:tcPr>
            <w:tcW w:type="dxa" w:w="4824"/>
          </w:tcPr>
          <w:p>
            <w:pPr>
              <w:spacing w:before="40" w:after="40"/>
            </w:pPr>
            <w:r>
              <w:rPr>
                <w:b/>
                <w:i w:val="0"/>
                <w:sz w:val="17"/>
              </w:rPr>
              <w:t>Average case size is not on any register.</w:t>
            </w:r>
            <w:r>
              <w:rPr>
                <w:b w:val="0"/>
                <w:i w:val="0"/>
                <w:sz w:val="17"/>
              </w:rPr>
              <w:t xml:space="preserve"> It is a pricing assumption of $118,000 with no risk, assumption or condition attached to it. Nothing in the program's governance would surface a movement in it before launch, and it decomposes volume alongside policy count — two different problems with two different remedies.</w:t>
            </w:r>
          </w:p>
        </w:tc>
      </w:tr>
      <w:tr>
        <w:tc>
          <w:tcPr>
            <w:tcW w:type="dxa" w:w="4824"/>
          </w:tcPr>
          <w:p>
            <w:pPr>
              <w:spacing w:before="40" w:after="40"/>
            </w:pPr>
            <w:r>
              <w:rPr>
                <w:b/>
                <w:i w:val="0"/>
                <w:sz w:val="17"/>
              </w:rPr>
              <w:t>AG-02</w:t>
            </w:r>
          </w:p>
        </w:tc>
        <w:tc>
          <w:tcPr>
            <w:tcW w:type="dxa" w:w="4824"/>
          </w:tcPr>
          <w:p>
            <w:pPr>
              <w:spacing w:before="40" w:after="40"/>
            </w:pPr>
            <w:r>
              <w:rPr>
                <w:b/>
                <w:i w:val="0"/>
                <w:sz w:val="17"/>
              </w:rPr>
              <w:t>Rider election and persistency are modeled independently.</w:t>
            </w:r>
            <w:r>
              <w:rPr>
                <w:b w:val="0"/>
                <w:i w:val="0"/>
                <w:sz w:val="17"/>
              </w:rPr>
              <w:t xml:space="preserve"> Higher election with worse persistency can look neutral in aggregate while changing the shape of the guarantee exposure materially. The annual experience study handles the interaction; nothing before launch does.</w:t>
            </w:r>
          </w:p>
        </w:tc>
      </w:tr>
      <w:tr>
        <w:tc>
          <w:tcPr>
            <w:tcW w:type="dxa" w:w="4824"/>
          </w:tcPr>
          <w:p>
            <w:pPr>
              <w:spacing w:before="40" w:after="40"/>
            </w:pPr>
            <w:r>
              <w:rPr>
                <w:b/>
                <w:i w:val="0"/>
                <w:sz w:val="17"/>
              </w:rPr>
              <w:t>AG-03</w:t>
            </w:r>
          </w:p>
        </w:tc>
        <w:tc>
          <w:tcPr>
            <w:tcW w:type="dxa" w:w="4824"/>
          </w:tcPr>
          <w:p>
            <w:pPr>
              <w:spacing w:before="40" w:after="40"/>
            </w:pPr>
            <w:r>
              <w:rPr>
                <w:b/>
                <w:i w:val="0"/>
                <w:sz w:val="17"/>
              </w:rPr>
              <w:t>The model is calibrated, not validated.</w:t>
            </w:r>
            <w:r>
              <w:rPr>
                <w:b w:val="0"/>
                <w:i w:val="0"/>
                <w:sz w:val="17"/>
              </w:rPr>
              <w:t xml:space="preserve"> It reproduces the program's approved returns by construction — that proves internal consistency, not that the underlying pricing is right. GC-03's external review addresses the pricing basis; no review addresses the model.</w:t>
            </w:r>
          </w:p>
        </w:tc>
      </w:tr>
      <w:tr>
        <w:tc>
          <w:tcPr>
            <w:tcW w:type="dxa" w:w="4824"/>
          </w:tcPr>
          <w:p>
            <w:pPr>
              <w:spacing w:before="40" w:after="40"/>
            </w:pPr>
            <w:r>
              <w:rPr>
                <w:b/>
                <w:i w:val="0"/>
                <w:sz w:val="17"/>
              </w:rPr>
              <w:t>AG-04</w:t>
            </w:r>
          </w:p>
        </w:tc>
        <w:tc>
          <w:tcPr>
            <w:tcW w:type="dxa" w:w="4824"/>
          </w:tcPr>
          <w:p>
            <w:pPr>
              <w:spacing w:before="40" w:after="40"/>
            </w:pPr>
            <w:r>
              <w:rPr>
                <w:b/>
                <w:i w:val="0"/>
                <w:sz w:val="17"/>
              </w:rPr>
              <w:t>No assumption carries an owner distinct from the team that set it.</w:t>
            </w:r>
            <w:r>
              <w:rPr>
                <w:b w:val="0"/>
                <w:i w:val="0"/>
                <w:sz w:val="17"/>
              </w:rPr>
              <w:t xml:space="preserve"> Actuarial sets the pricing assumptions and Actuarial monitors them. That is normal in a carrier this size and it is precisely the arrangement that let an 87 bp error reach a gate.</w:t>
            </w:r>
          </w:p>
        </w:tc>
      </w:tr>
    </w:tbl>
    <w:p/>
    <w:p>
      <w:pPr>
        <w:spacing w:before="280" w:after="80"/>
      </w:pPr>
      <w:r>
        <w:rPr>
          <w:b/>
          <w:i w:val="0"/>
          <w:color w:val="14352A"/>
          <w:sz w:val="28"/>
        </w:rPr>
        <w:t>7. External Review and Control</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Control</w:t>
            </w:r>
          </w:p>
        </w:tc>
        <w:tc>
          <w:tcPr>
            <w:tcW w:type="dxa" w:w="4824"/>
            <w:shd w:val="clear" w:fill="14352A"/>
          </w:tcPr>
          <w:p>
            <w:pPr>
              <w:spacing w:before="40" w:after="40"/>
            </w:pPr>
            <w:r>
              <w:rPr>
                <w:b/>
                <w:i w:val="0"/>
                <w:color w:val="FFFFFF"/>
                <w:sz w:val="17"/>
              </w:rPr>
              <w:t>Status</w:t>
            </w:r>
          </w:p>
        </w:tc>
      </w:tr>
      <w:tr>
        <w:tc>
          <w:tcPr>
            <w:tcW w:type="dxa" w:w="4824"/>
          </w:tcPr>
          <w:p>
            <w:pPr>
              <w:spacing w:before="40" w:after="40"/>
            </w:pPr>
            <w:r>
              <w:rPr>
                <w:b/>
                <w:i w:val="0"/>
                <w:sz w:val="17"/>
              </w:rPr>
              <w:t>GC-03</w:t>
            </w:r>
            <w:r>
              <w:rPr>
                <w:b w:val="0"/>
                <w:i w:val="0"/>
                <w:sz w:val="17"/>
              </w:rPr>
              <w:t xml:space="preserve"> — independent external actuarial review of the rider pricing basis, funded by a $180,000 contingency draw</w:t>
            </w:r>
          </w:p>
        </w:tc>
        <w:tc>
          <w:tcPr>
            <w:tcW w:type="dxa" w:w="4824"/>
          </w:tcPr>
          <w:p>
            <w:pPr>
              <w:spacing w:before="40" w:after="40"/>
            </w:pPr>
            <w:r>
              <w:rPr>
                <w:b w:val="0"/>
                <w:i w:val="0"/>
                <w:sz w:val="17"/>
              </w:rPr>
              <w:t>On track</w:t>
            </w:r>
            <w:r>
              <w:rPr>
                <w:b w:val="0"/>
                <w:i w:val="0"/>
                <w:sz w:val="17"/>
              </w:rPr>
              <w:t xml:space="preserve"> — Ardmore engaged; due 26 Feb 2027</w:t>
            </w:r>
          </w:p>
        </w:tc>
      </w:tr>
      <w:tr>
        <w:tc>
          <w:tcPr>
            <w:tcW w:type="dxa" w:w="4824"/>
          </w:tcPr>
          <w:p>
            <w:pPr>
              <w:spacing w:before="40" w:after="40"/>
            </w:pPr>
            <w:r>
              <w:rPr>
                <w:b w:val="0"/>
                <w:i w:val="0"/>
                <w:sz w:val="17"/>
              </w:rPr>
              <w:t>Gate 2 must-meet: pricing signed and supported by the external review</w:t>
            </w:r>
          </w:p>
        </w:tc>
        <w:tc>
          <w:tcPr>
            <w:tcW w:type="dxa" w:w="4824"/>
          </w:tcPr>
          <w:p>
            <w:pPr>
              <w:spacing w:before="40" w:after="40"/>
            </w:pPr>
            <w:r>
              <w:rPr>
                <w:b w:val="0"/>
                <w:i w:val="0"/>
                <w:sz w:val="17"/>
              </w:rPr>
              <w:t>On track</w:t>
            </w:r>
          </w:p>
        </w:tc>
      </w:tr>
      <w:tr>
        <w:tc>
          <w:tcPr>
            <w:tcW w:type="dxa" w:w="4824"/>
          </w:tcPr>
          <w:p>
            <w:pPr>
              <w:spacing w:before="40" w:after="40"/>
            </w:pPr>
            <w:r>
              <w:rPr>
                <w:b w:val="0"/>
                <w:i w:val="0"/>
                <w:sz w:val="17"/>
              </w:rPr>
              <w:t>Model reproduces all three locked returns to within half a basis point, or refuses to load</w:t>
            </w:r>
          </w:p>
        </w:tc>
        <w:tc>
          <w:tcPr>
            <w:tcW w:type="dxa" w:w="4824"/>
          </w:tcPr>
          <w:p>
            <w:pPr>
              <w:spacing w:before="40" w:after="40"/>
            </w:pPr>
            <w:r>
              <w:rPr>
                <w:b w:val="0"/>
                <w:i w:val="0"/>
                <w:sz w:val="17"/>
              </w:rPr>
              <w:t>Enforced in code</w:t>
            </w:r>
          </w:p>
        </w:tc>
      </w:tr>
      <w:tr>
        <w:tc>
          <w:tcPr>
            <w:tcW w:type="dxa" w:w="4824"/>
          </w:tcPr>
          <w:p>
            <w:pPr>
              <w:spacing w:before="40" w:after="40"/>
            </w:pPr>
            <w:r>
              <w:rPr>
                <w:b w:val="0"/>
                <w:i w:val="0"/>
                <w:sz w:val="17"/>
              </w:rPr>
              <w:t xml:space="preserve">Independent review of the </w:t>
            </w:r>
            <w:r>
              <w:rPr>
                <w:b w:val="0"/>
                <w:i/>
                <w:sz w:val="17"/>
              </w:rPr>
              <w:t>model</w:t>
            </w:r>
            <w:r>
              <w:rPr>
                <w:b w:val="0"/>
                <w:i w:val="0"/>
                <w:sz w:val="17"/>
              </w:rPr>
              <w:t xml:space="preserve"> itself</w:t>
            </w:r>
          </w:p>
        </w:tc>
        <w:tc>
          <w:tcPr>
            <w:tcW w:type="dxa" w:w="4824"/>
          </w:tcPr>
          <w:p>
            <w:pPr>
              <w:spacing w:before="40" w:after="40"/>
            </w:pPr>
            <w:r>
              <w:rPr>
                <w:b w:val="0"/>
                <w:i w:val="0"/>
                <w:sz w:val="17"/>
              </w:rPr>
              <w:t>None — see AG-03</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GC-03 exists because of the error described in §1.</w:t>
            </w:r>
            <w:r>
              <w:rPr>
                <w:b w:val="0"/>
                <w:i w:val="0"/>
                <w:sz w:val="20"/>
              </w:rPr>
              <w:t xml:space="preserve"> The Board's response to a peer-unreviewed number reaching a gate was to require that the most consequential pricing element be reviewed by somebody outside the carrier, and to pay for it from contingency rather than absorb it into the actuarial workplan — which makes the control visible in the budget rather than invisible in a team's capacity. </w:t>
            </w:r>
          </w:p>
        </w:tc>
      </w:tr>
    </w:tbl>
    <w:p/>
    <w:p>
      <w:pPr>
        <w:spacing w:after="120"/>
      </w:pPr>
      <w:r>
        <w:rPr>
          <w:b w:val="0"/>
          <w:i w:val="0"/>
          <w:sz w:val="20"/>
        </w:rPr>
        <w:t xml:space="preserve">Prepared by S. Ravichandran, Lead Pricing Actuary, under N. Adeyemi, Chief Actuary. Tabled through the gate process by C. Tyrrell, NPD Program Manager. Related: </w:t>
      </w:r>
      <w:r>
        <w:rPr>
          <w:b w:val="0"/>
          <w:i w:val="0"/>
          <w:sz w:val="20"/>
        </w:rPr>
        <w:t>Cost-Benefit Analysis</w:t>
      </w:r>
      <w:r>
        <w:rPr>
          <w:b w:val="0"/>
          <w:i w:val="0"/>
          <w:sz w:val="20"/>
        </w:rPr>
        <w:t xml:space="preserve"> · </w:t>
      </w:r>
      <w:r>
        <w:rPr>
          <w:b w:val="0"/>
          <w:i w:val="0"/>
          <w:sz w:val="20"/>
        </w:rPr>
        <w:t>Gate 1 Recycle Memorandum</w:t>
      </w:r>
      <w:r>
        <w:rPr>
          <w:b w:val="0"/>
          <w:i w:val="0"/>
          <w:sz w:val="20"/>
        </w:rPr>
        <w:t xml:space="preserve"> · </w:t>
      </w:r>
      <w:r>
        <w:rPr>
          <w:b w:val="0"/>
          <w:i w:val="0"/>
          <w:sz w:val="20"/>
        </w:rPr>
        <w:t>Gate 1 Recycle — Executive Session</w:t>
      </w:r>
      <w:r>
        <w:rPr>
          <w:b w:val="0"/>
          <w:i w:val="0"/>
          <w:sz w:val="20"/>
        </w:rPr>
        <w:t xml:space="preserve"> · </w:t>
      </w:r>
      <w:r>
        <w:rPr>
          <w:b w:val="0"/>
          <w:i w:val="0"/>
          <w:sz w:val="20"/>
        </w:rPr>
        <w:t>Gate Conditions Register</w:t>
      </w:r>
      <w:r>
        <w:rPr>
          <w:b w:val="0"/>
          <w:i w:val="0"/>
          <w:sz w:val="20"/>
        </w:rPr>
        <w:t xml:space="preserve"> (GC-03) · </w:t>
      </w:r>
      <w:r>
        <w:rPr>
          <w:b w:val="0"/>
          <w:i w:val="0"/>
          <w:sz w:val="20"/>
        </w:rPr>
        <w:t>RAIDD Log</w:t>
      </w:r>
      <w:r>
        <w:rPr>
          <w:b w:val="0"/>
          <w:i w:val="0"/>
          <w:sz w:val="20"/>
        </w:rPr>
        <w:t>.</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firm</w:t>
        <w:br/>
        <w:t>or 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