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5B6472"/>
          <w:sz w:val="18"/>
        </w:rPr>
        <w:t>Lighthouse Financial Services Company</w:t>
      </w:r>
    </w:p>
    <w:p>
      <w:r>
        <w:rPr>
          <w:b/>
          <w:color w:val="14352A"/>
          <w:sz w:val="34"/>
        </w:rPr>
        <w:t>Benefits Realization Plan</w:t>
      </w:r>
    </w:p>
    <w:p>
      <w:r>
        <w:rPr>
          <w:color w:val="1E5945"/>
          <w:sz w:val="18"/>
        </w:rPr>
        <w:t>Early-Warning Instrument · Not a Value Claim</w:t>
      </w:r>
    </w:p>
    <w:p/>
    <w:p>
      <w:pPr>
        <w:spacing w:after="120"/>
      </w:pPr>
      <w:r>
        <w:rPr>
          <w:b/>
          <w:i w:val="0"/>
          <w:sz w:val="20"/>
        </w:rPr>
        <w:t>Lighthouse Financial Services Company</w:t>
      </w:r>
      <w:r>
        <w:rPr>
          <w:b w:val="0"/>
          <w:i w:val="0"/>
          <w:sz w:val="20"/>
        </w:rPr>
        <w:t xml:space="preserve"> — How the Beacon Index Advantage business case will be measured after launch, who owns each measure, and the pre-committed thresholds at which the carrier acts. Status as at </w:t>
      </w:r>
      <w:r>
        <w:rPr>
          <w:b/>
          <w:i w:val="0"/>
          <w:sz w:val="20"/>
        </w:rPr>
        <w:t>16 October 2026</w:t>
      </w:r>
      <w:r>
        <w:rPr>
          <w:b w:val="0"/>
          <w:i w:val="0"/>
          <w:sz w:val="20"/>
        </w:rPr>
        <w:t>, 507 days before the first policy is issued.</w:t>
      </w:r>
    </w:p>
    <w:p>
      <w:pPr>
        <w:spacing w:after="120"/>
      </w:pPr>
      <w:r>
        <w:rPr>
          <w:b w:val="0"/>
          <w:i w:val="0"/>
          <w:sz w:val="20"/>
        </w:rPr>
        <w:t>$0</w:t>
      </w:r>
    </w:p>
    <w:p>
      <w:pPr>
        <w:spacing w:after="120"/>
      </w:pPr>
      <w:r>
        <w:rPr>
          <w:b w:val="0"/>
          <w:i w:val="0"/>
          <w:sz w:val="20"/>
        </w:rPr>
        <w:t>Benefits realized to date</w:t>
      </w:r>
    </w:p>
    <w:p>
      <w:pPr>
        <w:spacing w:after="120"/>
      </w:pPr>
      <w:r>
        <w:rPr>
          <w:b w:val="0"/>
          <w:i w:val="0"/>
          <w:sz w:val="20"/>
        </w:rPr>
        <w:t>6</w:t>
      </w:r>
    </w:p>
    <w:p>
      <w:pPr>
        <w:spacing w:after="120"/>
      </w:pPr>
      <w:r>
        <w:rPr>
          <w:b w:val="0"/>
          <w:i w:val="0"/>
          <w:sz w:val="20"/>
        </w:rPr>
        <w:t>Measured benefits</w:t>
      </w:r>
    </w:p>
    <w:p>
      <w:pPr>
        <w:spacing w:after="120"/>
      </w:pPr>
      <w:r>
        <w:rPr>
          <w:b w:val="0"/>
          <w:i w:val="0"/>
          <w:sz w:val="20"/>
        </w:rPr>
        <w:t>-23%</w:t>
      </w:r>
    </w:p>
    <w:p>
      <w:pPr>
        <w:spacing w:after="120"/>
      </w:pPr>
      <w:r>
        <w:rPr>
          <w:b w:val="0"/>
          <w:i w:val="0"/>
          <w:sz w:val="20"/>
        </w:rPr>
        <w:t>Volume shortfall the case survives</w:t>
      </w:r>
    </w:p>
    <w:p>
      <w:pPr>
        <w:spacing w:after="120"/>
      </w:pPr>
      <w:r>
        <w:rPr>
          <w:b w:val="0"/>
          <w:i w:val="0"/>
          <w:sz w:val="20"/>
        </w:rPr>
        <w:t>40%</w:t>
      </w:r>
    </w:p>
    <w:p>
      <w:pPr>
        <w:spacing w:after="120"/>
      </w:pPr>
      <w:r>
        <w:rPr>
          <w:b w:val="0"/>
          <w:i w:val="0"/>
          <w:sz w:val="20"/>
        </w:rPr>
        <w:t>Of that tolerance already used</w:t>
      </w:r>
    </w:p>
    <w:p>
      <w:pPr>
        <w:spacing w:after="120"/>
      </w:pPr>
      <w:r>
        <w:rPr>
          <w:b/>
          <w:i w:val="0"/>
          <w:sz w:val="20"/>
        </w:rPr>
        <w:t>Contents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What This Plan Is For — and Why It Is Not a Value Claim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Benefits Realized to Date: Zero, and Correct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The Six Measured Benefits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Benefit Detail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Pre-Committed Trigger Thresholds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The Tolerance Already Consumed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The Governance Cliff After Gate 5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Handover to the Operating Line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Measurement Gaps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Document Control &amp; Related Documents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1. What This Plan Is For — and Why It Is Not a Value Claim</w:t>
      </w:r>
    </w:p>
    <w:p>
      <w:pPr>
        <w:spacing w:after="120"/>
      </w:pPr>
      <w:r>
        <w:rPr>
          <w:b w:val="0"/>
          <w:i w:val="0"/>
          <w:sz w:val="20"/>
        </w:rPr>
        <w:t>Most benefits realization plans exist to claim value: they enumerate savings, attach owners, and report progress toward a number the program promised. This one cannot do that, for three structural reasons that are worth stating plainly before any benefit is listed.</w:t>
      </w:r>
    </w:p>
    <w:p>
      <w:pPr>
        <w:pStyle w:val="ListNumber"/>
        <w:spacing w:after="60"/>
      </w:pPr>
      <w:r>
        <w:rPr>
          <w:b/>
          <w:i w:val="0"/>
          <w:sz w:val="20"/>
        </w:rPr>
        <w:t>The benefit case can fail.</w:t>
      </w:r>
      <w:r>
        <w:rPr>
          <w:b w:val="0"/>
          <w:i w:val="0"/>
          <w:sz w:val="20"/>
        </w:rPr>
        <w:t xml:space="preserve"> The approved return is 13.4% against an 11.0% hurdle, but the disclosed downside is 10.1% — it does not clear. This is the only suite in the portfolio whose business case carries a scenario that fails, disclosed rather than closed.</w:t>
      </w:r>
    </w:p>
    <w:p>
      <w:pPr>
        <w:pStyle w:val="ListNumber"/>
        <w:spacing w:after="60"/>
      </w:pPr>
      <w:r>
        <w:rPr>
          <w:b/>
          <w:i w:val="0"/>
          <w:sz w:val="20"/>
        </w:rPr>
        <w:t>The return cannot be observed for a decade.</w:t>
      </w:r>
      <w:r>
        <w:rPr>
          <w:b w:val="0"/>
          <w:i w:val="0"/>
          <w:sz w:val="20"/>
        </w:rPr>
        <w:t xml:space="preserve"> An internal rate of return on a fifteen-year cohort is not a measurement, it is a projection, until the block has substantially run off. Nobody will know the real answer while anyone involved still owns it.</w:t>
      </w:r>
    </w:p>
    <w:p>
      <w:pPr>
        <w:pStyle w:val="ListNumber"/>
        <w:spacing w:after="60"/>
      </w:pPr>
      <w:r>
        <w:rPr>
          <w:b/>
          <w:i w:val="0"/>
          <w:sz w:val="20"/>
        </w:rPr>
        <w:t>There is no governance body left to receive the answer.</w:t>
      </w:r>
      <w:r>
        <w:rPr>
          <w:b w:val="0"/>
          <w:i w:val="0"/>
          <w:sz w:val="20"/>
        </w:rPr>
        <w:t xml:space="preserve"> Gate 5 convenes 07 September 2028, </w:t>
      </w:r>
      <w:r>
        <w:rPr>
          <w:b/>
          <w:i w:val="0"/>
          <w:sz w:val="20"/>
        </w:rPr>
        <w:t>185 days after launch</w:t>
      </w:r>
      <w:r>
        <w:rPr>
          <w:b w:val="0"/>
          <w:i w:val="0"/>
          <w:sz w:val="20"/>
        </w:rPr>
        <w:t>. It can read a partial first year and nothing more. Then the Gate Review Board dissolves.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So the plan does the only useful thing available: it converts an unobservable fifteen-year return into a leading indicator readable monthly, and pre-commits what happens at each threshold.</w:t>
            </w:r>
            <w:r>
              <w:rPr>
                <w:b w:val="0"/>
                <w:i w:val="0"/>
                <w:sz w:val="20"/>
              </w:rPr>
              <w:t xml:space="preserve"> The question this document answers is not </w:t>
            </w:r>
            <w:r>
              <w:rPr>
                <w:b w:val="0"/>
                <w:i/>
                <w:sz w:val="20"/>
              </w:rPr>
              <w:t>how much value did we create</w:t>
            </w:r>
            <w:r>
              <w:rPr>
                <w:b w:val="0"/>
                <w:i w:val="0"/>
                <w:sz w:val="20"/>
              </w:rPr>
              <w:t xml:space="preserve"> — that answer arrives too late to act on. It is </w:t>
            </w:r>
            <w:r>
              <w:rPr>
                <w:b w:val="0"/>
                <w:i/>
                <w:sz w:val="20"/>
              </w:rPr>
              <w:t>are we tracking toward the case that clears, or the one that does not, and how early can we tell?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2. Benefits Realized to Date: Zero, and Correct</w:t>
      </w:r>
    </w:p>
    <w:p>
      <w:pPr>
        <w:spacing w:after="120"/>
      </w:pPr>
      <w:r>
        <w:rPr>
          <w:b w:val="0"/>
          <w:i w:val="0"/>
          <w:sz w:val="20"/>
        </w:rPr>
        <w:t xml:space="preserve">No benefit in this plan has been realized, and none could have been. The product does not exist in market until 06 March 2028; every measure below reads zero because there is nothing yet to read. Reporting </w:t>
      </w:r>
      <w:r>
        <w:rPr>
          <w:b/>
          <w:i w:val="0"/>
          <w:sz w:val="20"/>
        </w:rPr>
        <w:t>$0 realized</w:t>
      </w:r>
      <w:r>
        <w:rPr>
          <w:b w:val="0"/>
          <w:i w:val="0"/>
          <w:sz w:val="20"/>
        </w:rPr>
        <w:t xml:space="preserve"> at the status date is the accurate position, not an underperformance. A benefits plan that showed early partial realization on an unlaunched product would be measuring something other than the product.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3. The Six Measured Benefits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Benefit</w:t>
            </w:r>
          </w:p>
        </w:tc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First readable</w:t>
            </w:r>
          </w:p>
        </w:tc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Linked risk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BEN-01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Premium volume against plan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R. Castellanos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Month 1 after launch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R-07 / I-06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BEN-02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GLWB rider election rate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D. Falkner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Month 3 after launch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R-06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BEN-03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Persistency against the pricing lapse basis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T. Brennan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Month 15 after launch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R-09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BEN-04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Average case size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H. Kirkpatrick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Month 1 after launch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R-11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BEN-05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Crediting strategy mix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E. Kowalczyk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Month 3 after launch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R-12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BEN-06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Capital efficiency against the 4.2% basis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J. Whitmore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Month 12 after launch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R-09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They are ordered by </w:t>
      </w:r>
      <w:r>
        <w:rPr>
          <w:b/>
          <w:i w:val="0"/>
          <w:sz w:val="20"/>
        </w:rPr>
        <w:t>when they become readable</w:t>
      </w:r>
      <w:r>
        <w:rPr>
          <w:b w:val="0"/>
          <w:i w:val="0"/>
          <w:sz w:val="20"/>
        </w:rPr>
        <w:t>, not by size. That ordering is the whole design: a benefit that cannot be read until Month 15 cannot serve as an early warning, however important it is. BEN-01 and BEN-04 carry the early-warning load precisely because they are legible from the first month of sales.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4. Benefit Detail</w:t>
      </w:r>
    </w:p>
    <w:p>
      <w:pPr>
        <w:spacing w:before="200" w:after="80"/>
      </w:pPr>
      <w:r>
        <w:rPr>
          <w:b/>
          <w:i w:val="0"/>
          <w:color w:val="14352A"/>
          <w:sz w:val="24"/>
        </w:rPr>
        <w:t>BEN-01 — Premium volume against plan</w:t>
      </w:r>
    </w:p>
    <w:p>
      <w:pPr>
        <w:spacing w:after="120"/>
      </w:pPr>
      <w:r>
        <w:rPr>
          <w:b w:val="0"/>
          <w:i w:val="0"/>
          <w:sz w:val="20"/>
        </w:rPr>
        <w:t>Owner</w:t>
      </w:r>
    </w:p>
    <w:p>
      <w:pPr>
        <w:spacing w:after="120"/>
      </w:pPr>
      <w:r>
        <w:rPr>
          <w:b w:val="0"/>
          <w:i w:val="0"/>
          <w:sz w:val="20"/>
        </w:rPr>
        <w:t>R. Castellanos</w:t>
      </w:r>
    </w:p>
    <w:p>
      <w:pPr>
        <w:spacing w:after="120"/>
      </w:pPr>
      <w:r>
        <w:rPr>
          <w:b w:val="0"/>
          <w:i w:val="0"/>
          <w:sz w:val="20"/>
        </w:rPr>
        <w:t>First readable</w:t>
      </w:r>
    </w:p>
    <w:p>
      <w:pPr>
        <w:spacing w:after="120"/>
      </w:pPr>
      <w:r>
        <w:rPr>
          <w:b w:val="0"/>
          <w:i w:val="0"/>
          <w:sz w:val="20"/>
        </w:rPr>
        <w:t>Month 1 after launch</w:t>
      </w:r>
    </w:p>
    <w:p>
      <w:pPr>
        <w:spacing w:after="120"/>
      </w:pPr>
      <w:r>
        <w:rPr>
          <w:b w:val="0"/>
          <w:i w:val="0"/>
          <w:sz w:val="20"/>
        </w:rPr>
        <w:t>Linked risk</w:t>
      </w:r>
    </w:p>
    <w:p>
      <w:pPr>
        <w:spacing w:after="120"/>
      </w:pPr>
      <w:r>
        <w:rPr>
          <w:b w:val="0"/>
          <w:i w:val="0"/>
          <w:sz w:val="20"/>
        </w:rPr>
        <w:t>R-07 / I-06</w:t>
      </w:r>
    </w:p>
    <w:p>
      <w:pPr>
        <w:spacing w:before="200" w:after="80"/>
      </w:pPr>
      <w:r>
        <w:rPr>
          <w:b/>
          <w:i w:val="0"/>
          <w:color w:val="1B2130"/>
          <w:sz w:val="21"/>
        </w:rPr>
        <w:t>Measure</w:t>
      </w:r>
    </w:p>
    <w:p>
      <w:pPr>
        <w:spacing w:after="120"/>
      </w:pPr>
      <w:r>
        <w:rPr>
          <w:b w:val="0"/>
          <w:i w:val="0"/>
          <w:sz w:val="20"/>
        </w:rPr>
        <w:t>Monthly written premium vs the plan curve.</w:t>
      </w:r>
    </w:p>
    <w:p>
      <w:pPr>
        <w:spacing w:before="200" w:after="80"/>
      </w:pPr>
      <w:r>
        <w:rPr>
          <w:b/>
          <w:i w:val="0"/>
          <w:color w:val="1B2130"/>
          <w:sz w:val="21"/>
        </w:rPr>
        <w:t>Why it is on this list</w:t>
      </w:r>
    </w:p>
    <w:p>
      <w:pPr>
        <w:spacing w:after="120"/>
      </w:pPr>
      <w:r>
        <w:rPr>
          <w:b w:val="0"/>
          <w:i w:val="0"/>
          <w:sz w:val="20"/>
        </w:rPr>
        <w:t>Carries the entire case. The model proves volume is the only variable that moves the return, because fixed run cost is the sole element that does not scale.</w:t>
      </w:r>
    </w:p>
    <w:p>
      <w:pPr>
        <w:spacing w:before="200" w:after="80"/>
      </w:pPr>
      <w:r>
        <w:rPr>
          <w:b/>
          <w:i w:val="0"/>
          <w:color w:val="14352A"/>
          <w:sz w:val="24"/>
        </w:rPr>
        <w:t>BEN-02 — GLWB rider election rate</w:t>
      </w:r>
    </w:p>
    <w:p>
      <w:pPr>
        <w:spacing w:after="120"/>
      </w:pPr>
      <w:r>
        <w:rPr>
          <w:b w:val="0"/>
          <w:i w:val="0"/>
          <w:sz w:val="20"/>
        </w:rPr>
        <w:t>Owner</w:t>
      </w:r>
    </w:p>
    <w:p>
      <w:pPr>
        <w:spacing w:after="120"/>
      </w:pPr>
      <w:r>
        <w:rPr>
          <w:b w:val="0"/>
          <w:i w:val="0"/>
          <w:sz w:val="20"/>
        </w:rPr>
        <w:t>D. Falkner</w:t>
      </w:r>
    </w:p>
    <w:p>
      <w:pPr>
        <w:spacing w:after="120"/>
      </w:pPr>
      <w:r>
        <w:rPr>
          <w:b w:val="0"/>
          <w:i w:val="0"/>
          <w:sz w:val="20"/>
        </w:rPr>
        <w:t>First readable</w:t>
      </w:r>
    </w:p>
    <w:p>
      <w:pPr>
        <w:spacing w:after="120"/>
      </w:pPr>
      <w:r>
        <w:rPr>
          <w:b w:val="0"/>
          <w:i w:val="0"/>
          <w:sz w:val="20"/>
        </w:rPr>
        <w:t>Month 3 after launch</w:t>
      </w:r>
    </w:p>
    <w:p>
      <w:pPr>
        <w:spacing w:after="120"/>
      </w:pPr>
      <w:r>
        <w:rPr>
          <w:b w:val="0"/>
          <w:i w:val="0"/>
          <w:sz w:val="20"/>
        </w:rPr>
        <w:t>Linked risk</w:t>
      </w:r>
    </w:p>
    <w:p>
      <w:pPr>
        <w:spacing w:after="120"/>
      </w:pPr>
      <w:r>
        <w:rPr>
          <w:b w:val="0"/>
          <w:i w:val="0"/>
          <w:sz w:val="20"/>
        </w:rPr>
        <w:t>R-06</w:t>
      </w:r>
    </w:p>
    <w:p>
      <w:pPr>
        <w:spacing w:before="200" w:after="80"/>
      </w:pPr>
      <w:r>
        <w:rPr>
          <w:b/>
          <w:i w:val="0"/>
          <w:color w:val="1B2130"/>
          <w:sz w:val="21"/>
        </w:rPr>
        <w:t>Measure</w:t>
      </w:r>
    </w:p>
    <w:p>
      <w:pPr>
        <w:spacing w:after="120"/>
      </w:pPr>
      <w:r>
        <w:rPr>
          <w:b w:val="0"/>
          <w:i w:val="0"/>
          <w:sz w:val="20"/>
        </w:rPr>
        <w:t>Rider elections as a share of policies issued, against the 62% pricing assumption.</w:t>
      </w:r>
    </w:p>
    <w:p>
      <w:pPr>
        <w:spacing w:before="200" w:after="80"/>
      </w:pPr>
      <w:r>
        <w:rPr>
          <w:b/>
          <w:i w:val="0"/>
          <w:color w:val="1B2130"/>
          <w:sz w:val="21"/>
        </w:rPr>
        <w:t>Why it is on this list</w:t>
      </w:r>
    </w:p>
    <w:p>
      <w:pPr>
        <w:spacing w:after="120"/>
      </w:pPr>
      <w:r>
        <w:rPr>
          <w:b w:val="0"/>
          <w:i w:val="0"/>
          <w:sz w:val="20"/>
        </w:rPr>
        <w:t>Rider fee income is a material share of product margin. Election running below assumption reduces margin without reducing the capital held.</w:t>
      </w:r>
    </w:p>
    <w:p>
      <w:pPr>
        <w:spacing w:before="200" w:after="80"/>
      </w:pPr>
      <w:r>
        <w:rPr>
          <w:b/>
          <w:i w:val="0"/>
          <w:color w:val="14352A"/>
          <w:sz w:val="24"/>
        </w:rPr>
        <w:t>BEN-03 — Persistency against the pricing lapse basis</w:t>
      </w:r>
    </w:p>
    <w:p>
      <w:pPr>
        <w:spacing w:after="120"/>
      </w:pPr>
      <w:r>
        <w:rPr>
          <w:b w:val="0"/>
          <w:i w:val="0"/>
          <w:sz w:val="20"/>
        </w:rPr>
        <w:t>Owner</w:t>
      </w:r>
    </w:p>
    <w:p>
      <w:pPr>
        <w:spacing w:after="120"/>
      </w:pPr>
      <w:r>
        <w:rPr>
          <w:b w:val="0"/>
          <w:i w:val="0"/>
          <w:sz w:val="20"/>
        </w:rPr>
        <w:t>T. Brennan</w:t>
      </w:r>
    </w:p>
    <w:p>
      <w:pPr>
        <w:spacing w:after="120"/>
      </w:pPr>
      <w:r>
        <w:rPr>
          <w:b w:val="0"/>
          <w:i w:val="0"/>
          <w:sz w:val="20"/>
        </w:rPr>
        <w:t>First readable</w:t>
      </w:r>
    </w:p>
    <w:p>
      <w:pPr>
        <w:spacing w:after="120"/>
      </w:pPr>
      <w:r>
        <w:rPr>
          <w:b w:val="0"/>
          <w:i w:val="0"/>
          <w:sz w:val="20"/>
        </w:rPr>
        <w:t>Month 15 after launch</w:t>
      </w:r>
    </w:p>
    <w:p>
      <w:pPr>
        <w:spacing w:after="120"/>
      </w:pPr>
      <w:r>
        <w:rPr>
          <w:b w:val="0"/>
          <w:i w:val="0"/>
          <w:sz w:val="20"/>
        </w:rPr>
        <w:t>Linked risk</w:t>
      </w:r>
    </w:p>
    <w:p>
      <w:pPr>
        <w:spacing w:after="120"/>
      </w:pPr>
      <w:r>
        <w:rPr>
          <w:b w:val="0"/>
          <w:i w:val="0"/>
          <w:sz w:val="20"/>
        </w:rPr>
        <w:t>R-09</w:t>
      </w:r>
    </w:p>
    <w:p>
      <w:pPr>
        <w:spacing w:before="200" w:after="80"/>
      </w:pPr>
      <w:r>
        <w:rPr>
          <w:b/>
          <w:i w:val="0"/>
          <w:color w:val="1B2130"/>
          <w:sz w:val="21"/>
        </w:rPr>
        <w:t>Measure</w:t>
      </w:r>
    </w:p>
    <w:p>
      <w:pPr>
        <w:spacing w:after="120"/>
      </w:pPr>
      <w:r>
        <w:rPr>
          <w:b w:val="0"/>
          <w:i w:val="0"/>
          <w:sz w:val="20"/>
        </w:rPr>
        <w:t>Actual lapse experience vs the pricing curve, first credible read after one full policy year.</w:t>
      </w:r>
    </w:p>
    <w:p>
      <w:pPr>
        <w:spacing w:before="200" w:after="80"/>
      </w:pPr>
      <w:r>
        <w:rPr>
          <w:b/>
          <w:i w:val="0"/>
          <w:color w:val="1B2130"/>
          <w:sz w:val="21"/>
        </w:rPr>
        <w:t>Why it is on this list</w:t>
      </w:r>
    </w:p>
    <w:p>
      <w:pPr>
        <w:spacing w:after="120"/>
      </w:pPr>
      <w:r>
        <w:rPr>
          <w:b w:val="0"/>
          <w:i w:val="0"/>
          <w:sz w:val="20"/>
        </w:rPr>
        <w:t>The slowest benefit to read and the one that most changes the answer. Nothing credible exists before the first policy anniversary.</w:t>
      </w:r>
    </w:p>
    <w:p>
      <w:pPr>
        <w:spacing w:before="200" w:after="80"/>
      </w:pPr>
      <w:r>
        <w:rPr>
          <w:b/>
          <w:i w:val="0"/>
          <w:color w:val="14352A"/>
          <w:sz w:val="24"/>
        </w:rPr>
        <w:t>BEN-04 — Average case size</w:t>
      </w:r>
    </w:p>
    <w:p>
      <w:pPr>
        <w:spacing w:after="120"/>
      </w:pPr>
      <w:r>
        <w:rPr>
          <w:b w:val="0"/>
          <w:i w:val="0"/>
          <w:sz w:val="20"/>
        </w:rPr>
        <w:t>Owner</w:t>
      </w:r>
    </w:p>
    <w:p>
      <w:pPr>
        <w:spacing w:after="120"/>
      </w:pPr>
      <w:r>
        <w:rPr>
          <w:b w:val="0"/>
          <w:i w:val="0"/>
          <w:sz w:val="20"/>
        </w:rPr>
        <w:t>H. Kirkpatrick</w:t>
      </w:r>
    </w:p>
    <w:p>
      <w:pPr>
        <w:spacing w:after="120"/>
      </w:pPr>
      <w:r>
        <w:rPr>
          <w:b w:val="0"/>
          <w:i w:val="0"/>
          <w:sz w:val="20"/>
        </w:rPr>
        <w:t>First readable</w:t>
      </w:r>
    </w:p>
    <w:p>
      <w:pPr>
        <w:spacing w:after="120"/>
      </w:pPr>
      <w:r>
        <w:rPr>
          <w:b w:val="0"/>
          <w:i w:val="0"/>
          <w:sz w:val="20"/>
        </w:rPr>
        <w:t>Month 1 after launch</w:t>
      </w:r>
    </w:p>
    <w:p>
      <w:pPr>
        <w:spacing w:after="120"/>
      </w:pPr>
      <w:r>
        <w:rPr>
          <w:b w:val="0"/>
          <w:i w:val="0"/>
          <w:sz w:val="20"/>
        </w:rPr>
        <w:t>Linked risk</w:t>
      </w:r>
    </w:p>
    <w:p>
      <w:pPr>
        <w:spacing w:after="120"/>
      </w:pPr>
      <w:r>
        <w:rPr>
          <w:b w:val="0"/>
          <w:i w:val="0"/>
          <w:sz w:val="20"/>
        </w:rPr>
        <w:t>R-11</w:t>
      </w:r>
    </w:p>
    <w:p>
      <w:pPr>
        <w:spacing w:before="200" w:after="80"/>
      </w:pPr>
      <w:r>
        <w:rPr>
          <w:b/>
          <w:i w:val="0"/>
          <w:color w:val="1B2130"/>
          <w:sz w:val="21"/>
        </w:rPr>
        <w:t>Measure</w:t>
      </w:r>
    </w:p>
    <w:p>
      <w:pPr>
        <w:spacing w:after="120"/>
      </w:pPr>
      <w:r>
        <w:rPr>
          <w:b w:val="0"/>
          <w:i w:val="0"/>
          <w:sz w:val="20"/>
        </w:rPr>
        <w:t>Mean single premium per policy issued vs the $118,000 assumption.</w:t>
      </w:r>
    </w:p>
    <w:p>
      <w:pPr>
        <w:spacing w:before="200" w:after="80"/>
      </w:pPr>
      <w:r>
        <w:rPr>
          <w:b/>
          <w:i w:val="0"/>
          <w:color w:val="1B2130"/>
          <w:sz w:val="21"/>
        </w:rPr>
        <w:t>Why it is on this list</w:t>
      </w:r>
    </w:p>
    <w:p>
      <w:pPr>
        <w:spacing w:after="120"/>
      </w:pPr>
      <w:r>
        <w:rPr>
          <w:b w:val="0"/>
          <w:i w:val="0"/>
          <w:sz w:val="20"/>
        </w:rPr>
        <w:t>A leading indicator for BEN-01: case size and policy count decompose volume, and they fail for different reasons -- one is a distribution problem, the other an advisor-mix problem.</w:t>
      </w:r>
    </w:p>
    <w:p>
      <w:pPr>
        <w:spacing w:before="200" w:after="80"/>
      </w:pPr>
      <w:r>
        <w:rPr>
          <w:b/>
          <w:i w:val="0"/>
          <w:color w:val="14352A"/>
          <w:sz w:val="24"/>
        </w:rPr>
        <w:t>BEN-05 — Crediting strategy mix</w:t>
      </w:r>
    </w:p>
    <w:p>
      <w:pPr>
        <w:spacing w:after="120"/>
      </w:pPr>
      <w:r>
        <w:rPr>
          <w:b w:val="0"/>
          <w:i w:val="0"/>
          <w:sz w:val="20"/>
        </w:rPr>
        <w:t>Owner</w:t>
      </w:r>
    </w:p>
    <w:p>
      <w:pPr>
        <w:spacing w:after="120"/>
      </w:pPr>
      <w:r>
        <w:rPr>
          <w:b w:val="0"/>
          <w:i w:val="0"/>
          <w:sz w:val="20"/>
        </w:rPr>
        <w:t>E. Kowalczyk</w:t>
      </w:r>
    </w:p>
    <w:p>
      <w:pPr>
        <w:spacing w:after="120"/>
      </w:pPr>
      <w:r>
        <w:rPr>
          <w:b w:val="0"/>
          <w:i w:val="0"/>
          <w:sz w:val="20"/>
        </w:rPr>
        <w:t>First readable</w:t>
      </w:r>
    </w:p>
    <w:p>
      <w:pPr>
        <w:spacing w:after="120"/>
      </w:pPr>
      <w:r>
        <w:rPr>
          <w:b w:val="0"/>
          <w:i w:val="0"/>
          <w:sz w:val="20"/>
        </w:rPr>
        <w:t>Month 3 after launch</w:t>
      </w:r>
    </w:p>
    <w:p>
      <w:pPr>
        <w:spacing w:after="120"/>
      </w:pPr>
      <w:r>
        <w:rPr>
          <w:b w:val="0"/>
          <w:i w:val="0"/>
          <w:sz w:val="20"/>
        </w:rPr>
        <w:t>Linked risk</w:t>
      </w:r>
    </w:p>
    <w:p>
      <w:pPr>
        <w:spacing w:after="120"/>
      </w:pPr>
      <w:r>
        <w:rPr>
          <w:b w:val="0"/>
          <w:i w:val="0"/>
          <w:sz w:val="20"/>
        </w:rPr>
        <w:t>R-12</w:t>
      </w:r>
    </w:p>
    <w:p>
      <w:pPr>
        <w:spacing w:before="200" w:after="80"/>
      </w:pPr>
      <w:r>
        <w:rPr>
          <w:b/>
          <w:i w:val="0"/>
          <w:color w:val="1B2130"/>
          <w:sz w:val="21"/>
        </w:rPr>
        <w:t>Measure</w:t>
      </w:r>
    </w:p>
    <w:p>
      <w:pPr>
        <w:spacing w:after="120"/>
      </w:pPr>
      <w:r>
        <w:rPr>
          <w:b w:val="0"/>
          <w:i w:val="0"/>
          <w:sz w:val="20"/>
        </w:rPr>
        <w:t>Share of premium allocated to each of the three launch strategies.</w:t>
      </w:r>
    </w:p>
    <w:p>
      <w:pPr>
        <w:spacing w:before="200" w:after="80"/>
      </w:pPr>
      <w:r>
        <w:rPr>
          <w:b/>
          <w:i w:val="0"/>
          <w:color w:val="1B2130"/>
          <w:sz w:val="21"/>
        </w:rPr>
        <w:t>Why it is on this list</w:t>
      </w:r>
    </w:p>
    <w:p>
      <w:pPr>
        <w:spacing w:after="120"/>
      </w:pPr>
      <w:r>
        <w:rPr>
          <w:b w:val="0"/>
          <w:i w:val="0"/>
          <w:sz w:val="20"/>
        </w:rPr>
        <w:t>Not a value benefit -- a concentration control. D-03 reduced five strategies to three, which was raised at Gate 1 as creating hedging concentration.</w:t>
      </w:r>
    </w:p>
    <w:p>
      <w:pPr>
        <w:spacing w:before="200" w:after="80"/>
      </w:pPr>
      <w:r>
        <w:rPr>
          <w:b/>
          <w:i w:val="0"/>
          <w:color w:val="14352A"/>
          <w:sz w:val="24"/>
        </w:rPr>
        <w:t>BEN-06 — Capital efficiency against the 4.2% basis</w:t>
      </w:r>
    </w:p>
    <w:p>
      <w:pPr>
        <w:spacing w:after="120"/>
      </w:pPr>
      <w:r>
        <w:rPr>
          <w:b w:val="0"/>
          <w:i w:val="0"/>
          <w:sz w:val="20"/>
        </w:rPr>
        <w:t>Owner</w:t>
      </w:r>
    </w:p>
    <w:p>
      <w:pPr>
        <w:spacing w:after="120"/>
      </w:pPr>
      <w:r>
        <w:rPr>
          <w:b w:val="0"/>
          <w:i w:val="0"/>
          <w:sz w:val="20"/>
        </w:rPr>
        <w:t>J. Whitmore</w:t>
      </w:r>
    </w:p>
    <w:p>
      <w:pPr>
        <w:spacing w:after="120"/>
      </w:pPr>
      <w:r>
        <w:rPr>
          <w:b w:val="0"/>
          <w:i w:val="0"/>
          <w:sz w:val="20"/>
        </w:rPr>
        <w:t>First readable</w:t>
      </w:r>
    </w:p>
    <w:p>
      <w:pPr>
        <w:spacing w:after="120"/>
      </w:pPr>
      <w:r>
        <w:rPr>
          <w:b w:val="0"/>
          <w:i w:val="0"/>
          <w:sz w:val="20"/>
        </w:rPr>
        <w:t>Month 12 after launch</w:t>
      </w:r>
    </w:p>
    <w:p>
      <w:pPr>
        <w:spacing w:after="120"/>
      </w:pPr>
      <w:r>
        <w:rPr>
          <w:b w:val="0"/>
          <w:i w:val="0"/>
          <w:sz w:val="20"/>
        </w:rPr>
        <w:t>Linked risk</w:t>
      </w:r>
    </w:p>
    <w:p>
      <w:pPr>
        <w:spacing w:after="120"/>
      </w:pPr>
      <w:r>
        <w:rPr>
          <w:b w:val="0"/>
          <w:i w:val="0"/>
          <w:sz w:val="20"/>
        </w:rPr>
        <w:t>R-09</w:t>
      </w:r>
    </w:p>
    <w:p>
      <w:pPr>
        <w:spacing w:before="200" w:after="80"/>
      </w:pPr>
      <w:r>
        <w:rPr>
          <w:b/>
          <w:i w:val="0"/>
          <w:color w:val="1B2130"/>
          <w:sz w:val="21"/>
        </w:rPr>
        <w:t>Measure</w:t>
      </w:r>
    </w:p>
    <w:p>
      <w:pPr>
        <w:spacing w:after="120"/>
      </w:pPr>
      <w:r>
        <w:rPr>
          <w:b w:val="0"/>
          <w:i w:val="0"/>
          <w:sz w:val="20"/>
        </w:rPr>
        <w:t>Actual required capital as a share of account value vs the modeled 4.2%.</w:t>
      </w:r>
    </w:p>
    <w:p>
      <w:pPr>
        <w:spacing w:before="200" w:after="80"/>
      </w:pPr>
      <w:r>
        <w:rPr>
          <w:b/>
          <w:i w:val="0"/>
          <w:color w:val="1B2130"/>
          <w:sz w:val="21"/>
        </w:rPr>
        <w:t>Why it is on this list</w:t>
      </w:r>
    </w:p>
    <w:p>
      <w:pPr>
        <w:spacing w:after="120"/>
      </w:pPr>
      <w:r>
        <w:rPr>
          <w:b w:val="0"/>
          <w:i w:val="0"/>
          <w:sz w:val="20"/>
        </w:rPr>
        <w:t>The Gate 1 recycle turned on this ratio being wrong by 87 basis points. It is now measured rather than assumed.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5. Pre-Committed Trigger Thresholds</w:t>
      </w:r>
    </w:p>
    <w:p>
      <w:pPr>
        <w:spacing w:after="120"/>
      </w:pPr>
      <w:r>
        <w:rPr>
          <w:b w:val="0"/>
          <w:i w:val="0"/>
          <w:sz w:val="20"/>
        </w:rPr>
        <w:t xml:space="preserve">The business-case model establishes that </w:t>
      </w:r>
      <w:r>
        <w:rPr>
          <w:b/>
          <w:i w:val="0"/>
          <w:sz w:val="20"/>
        </w:rPr>
        <w:t>fixed run cost is the only element that does not scale with sales volume</w:t>
      </w:r>
      <w:r>
        <w:rPr>
          <w:b w:val="0"/>
          <w:i w:val="0"/>
          <w:sz w:val="20"/>
        </w:rPr>
        <w:t xml:space="preserve">. Product margin and required capital both scale, so a proportional shortfall would leave the return untouched; it is operating leverage alone that converts lower volume into a lower return. That result has a useful consequence: </w:t>
      </w:r>
      <w:r>
        <w:rPr>
          <w:b/>
          <w:i w:val="0"/>
          <w:sz w:val="20"/>
        </w:rPr>
        <w:t>sales volume against plan is a sufficient early indicator of the return</w:t>
      </w:r>
      <w:r>
        <w:rPr>
          <w:b w:val="0"/>
          <w:i w:val="0"/>
          <w:sz w:val="20"/>
        </w:rPr>
        <w:t>, and it is readable from the first month.</w:t>
      </w:r>
    </w:p>
    <w:p>
      <w:pPr>
        <w:spacing w:after="120"/>
      </w:pPr>
      <w:r>
        <w:rPr>
          <w:b w:val="0"/>
          <w:i w:val="0"/>
          <w:sz w:val="20"/>
        </w:rPr>
        <w:t>The thresholds below are computed from the model, not chosen: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Volume vs plan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Projected IRR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NPV at hurdle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Verdict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+0%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13.40%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$11,009,118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clears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-5%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12.94%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$8,618,608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clears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-10%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12.45%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$6,228,098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clears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-15%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11.92%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$3,837,588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clears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-20%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11.36%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$1,447,077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clears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-25%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10.76%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$-943,433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FAILS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-30%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10.10%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$-3,333,943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FAILS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FDF3DF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Breakeven sits at -23.0%.</w:t>
            </w:r>
            <w:r>
              <w:rPr>
                <w:b w:val="0"/>
                <w:i w:val="0"/>
                <w:sz w:val="20"/>
              </w:rPr>
              <w:t xml:space="preserve"> The case clears the 11.0% hurdle down to a 23% volume shortfall and fails below it. That single number is what makes this plan actionable: it converts “are the benefits being realized” into a monthly question with a pre-agreed answer. </w:t>
            </w:r>
          </w:p>
        </w:tc>
      </w:tr>
    </w:tbl>
    <w:p/>
    <w:p>
      <w:pPr>
        <w:spacing w:before="200" w:after="80"/>
      </w:pPr>
      <w:r>
        <w:rPr>
          <w:b/>
          <w:i w:val="0"/>
          <w:color w:val="1B2130"/>
          <w:sz w:val="21"/>
        </w:rPr>
        <w:t>Committed responses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Trailing 6-month volume vs plan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Status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Committed response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Better than −10%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Green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Routine reporting to the product line only.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−10% to −18%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Amber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Escalate to the Chief Product Officer; distribution remediation plan required within 30 days.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Worse than −18%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Red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Formal reforecast of the business case, tabled to the executive committee, with a re-pricing or repositioning recommendation.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The amber band deliberately triggers </w:t>
      </w:r>
      <w:r>
        <w:rPr>
          <w:b w:val="0"/>
          <w:i/>
          <w:sz w:val="20"/>
        </w:rPr>
        <w:t>before</w:t>
      </w:r>
      <w:r>
        <w:rPr>
          <w:b w:val="0"/>
          <w:i w:val="0"/>
          <w:sz w:val="20"/>
        </w:rPr>
        <w:t xml:space="preserve"> the 23% breakeven rather than at it. A threshold set at the point of failure is not a warning — it is a post-mortem with better timing.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6. The Tolerance Already Consumed</w:t>
      </w:r>
    </w:p>
    <w:p>
      <w:pPr>
        <w:spacing w:after="120"/>
      </w:pPr>
      <w:r>
        <w:rPr>
          <w:b w:val="0"/>
          <w:i w:val="0"/>
          <w:sz w:val="20"/>
        </w:rPr>
        <w:t xml:space="preserve">The plan tolerates a 23% volume shortfall. Written commitments from the three largest IMO partners, obtained under </w:t>
      </w:r>
      <w:r>
        <w:rPr>
          <w:b/>
          <w:i w:val="0"/>
          <w:sz w:val="20"/>
        </w:rPr>
        <w:t>GC-04</w:t>
      </w:r>
      <w:r>
        <w:rPr>
          <w:b w:val="0"/>
          <w:i w:val="0"/>
          <w:sz w:val="20"/>
        </w:rPr>
        <w:t xml:space="preserve">, total $168,000,000 against a Year 1 target of $185,000,000 — </w:t>
      </w:r>
      <w:r>
        <w:rPr>
          <w:b/>
          <w:i w:val="0"/>
          <w:sz w:val="20"/>
        </w:rPr>
        <w:t>-9.2% against plan before a single policy is sold.</w:t>
      </w:r>
    </w:p>
    <w:p>
      <w:pPr>
        <w:spacing w:after="120"/>
      </w:pPr>
      <w:r>
        <w:rPr>
          <w:b w:val="0"/>
          <w:i w:val="0"/>
          <w:sz w:val="20"/>
        </w:rPr>
        <w:t>40% of the available volume tolerance is consumed at the status date.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FBEAE8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Roughly two fifths of the program's entire volume tolerance is already spent, and the product has not launched.</w:t>
            </w:r>
            <w:r>
              <w:rPr>
                <w:b w:val="0"/>
                <w:i w:val="0"/>
                <w:sz w:val="20"/>
              </w:rPr>
              <w:t xml:space="preserve"> The $17,000,000 gap is not a forecast — it is the difference between what partners have committed in writing and what the business case assumes. GC-04 closed correctly having surfaced it; the condition mechanism worked and the underlying weakness did not go away, which is exactly the efficacy finding recorded in the </w:t>
            </w:r>
            <w:r>
              <w:rPr>
                <w:b w:val="0"/>
                <w:i w:val="0"/>
                <w:sz w:val="20"/>
              </w:rPr>
              <w:t>Gate Conditions Register</w:t>
            </w:r>
            <w:r>
              <w:rPr>
                <w:b w:val="0"/>
                <w:i w:val="0"/>
                <w:sz w:val="20"/>
              </w:rPr>
              <w:t xml:space="preserve">. It is carried as issue </w:t>
            </w:r>
            <w:r>
              <w:rPr>
                <w:b/>
                <w:i w:val="0"/>
                <w:sz w:val="20"/>
              </w:rPr>
              <w:t>I-06</w:t>
            </w:r>
            <w:r>
              <w:rPr>
                <w:b w:val="0"/>
                <w:i w:val="0"/>
                <w:sz w:val="20"/>
              </w:rPr>
              <w:t xml:space="preserve"> and risk </w:t>
            </w:r>
            <w:r>
              <w:rPr>
                <w:b/>
                <w:i w:val="0"/>
                <w:sz w:val="20"/>
              </w:rPr>
              <w:t>R-07</w:t>
            </w:r>
            <w:r>
              <w:rPr>
                <w:b w:val="0"/>
                <w:i w:val="0"/>
                <w:sz w:val="20"/>
              </w:rPr>
              <w:t xml:space="preserve">, and it is the single most important input to this plan. 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7. The Governance Cliff After Gate 5</w:t>
      </w:r>
    </w:p>
    <w:p>
      <w:pPr>
        <w:spacing w:after="120"/>
      </w:pPr>
      <w:r>
        <w:rPr>
          <w:b w:val="0"/>
          <w:i w:val="0"/>
          <w:sz w:val="20"/>
        </w:rPr>
        <w:t>Gate 5 convenes 07 September 2028 and reviews the post-launch window to 01 Sep 2028. It is the last event in the program's governance, and it can read BEN-01, BEN-04 and BEN-05 on partial data, BEN-02 on a first partial read, and neither BEN-03 nor BEN-06 at all.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Benefit</w:t>
            </w:r>
          </w:p>
        </w:tc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Readable at Gate 5?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BEN-01 Premium volume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Partial — ~6 months of sales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BEN-02 Rider election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Partial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BEN-03 Persistency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No — needs a full policy year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BEN-04 Average case size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Partial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BEN-05 Crediting mix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Partial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BEN-06 Capital efficiency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No — needs 12 months in force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FBEAE8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Years 2 through 5 of a five-year business case have no governance body attached to them.</w:t>
            </w:r>
            <w:r>
              <w:rPr>
                <w:b w:val="0"/>
                <w:i w:val="0"/>
                <w:sz w:val="20"/>
              </w:rPr>
              <w:t xml:space="preserve"> The Board that approved the case dissolves at Gate 5, 185 days after launch, with roughly 90% of the forecast premium still unwritten and unmeasured. Nothing in the program's governance survives to check it. That is a structural property of stage-gate — the gates end when the program ends, and a product outlives its program by years — and it is the weakest link in this plan. Section 8 exists because of it. 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8. Handover to the Operating Line</w:t>
      </w:r>
    </w:p>
    <w:p>
      <w:pPr>
        <w:spacing w:after="120"/>
      </w:pPr>
      <w:r>
        <w:rPr>
          <w:b w:val="0"/>
          <w:i w:val="0"/>
          <w:sz w:val="20"/>
        </w:rPr>
        <w:t>Because governance ends before measurement does, benefit ownership must transfer to a body that outlives the program. Gate 5's formal outputs include that transfer, and this plan specifies it.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Transfers to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Cadence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What is reported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Product line P&amp;L owner (Product Management &amp; Design)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Monthly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BEN-01, BEN-04, BEN-05 against plan, with the §5 trigger bands applied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Corporate Actuarial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Annual experience study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BEN-02, BEN-03, BEN-06 against the pricing basis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Chief Financial Officer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Annual, to the executive committee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Return against the Gate 1 case, with the variance stated in whichever direction it runs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The transfer is a handover of </w:t>
      </w:r>
      <w:r>
        <w:rPr>
          <w:b/>
          <w:i w:val="0"/>
          <w:sz w:val="20"/>
        </w:rPr>
        <w:t>measurement obligations</w:t>
      </w:r>
      <w:r>
        <w:rPr>
          <w:b w:val="0"/>
          <w:i w:val="0"/>
          <w:sz w:val="20"/>
        </w:rPr>
        <w:t xml:space="preserve">, not of the benefits themselves. The product line already owns the P&amp;L; what it does not automatically inherit is the obligation to report actuals </w:t>
      </w:r>
      <w:r>
        <w:rPr>
          <w:b w:val="0"/>
          <w:i/>
          <w:sz w:val="20"/>
        </w:rPr>
        <w:t>against what Gate 1 was told</w:t>
      </w:r>
      <w:r>
        <w:rPr>
          <w:b w:val="0"/>
          <w:i w:val="0"/>
          <w:sz w:val="20"/>
        </w:rPr>
        <w:t>, which is a different and easily-dropped discipline.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9. Measurement Gaps</w:t>
      </w:r>
    </w:p>
    <w:p>
      <w:pPr>
        <w:spacing w:after="120"/>
      </w:pPr>
      <w:r>
        <w:rPr>
          <w:b w:val="0"/>
          <w:i w:val="0"/>
          <w:sz w:val="20"/>
        </w:rPr>
        <w:t>Stated openly, on the same principle the Gate Conditions Register applies to conditions: a plan that lists only what it can do is not a plan.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Gap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BG-01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No instrument compels reporting after Gate 5.</w:t>
            </w:r>
            <w:r>
              <w:rPr>
                <w:b w:val="0"/>
                <w:i w:val="0"/>
                <w:sz w:val="17"/>
              </w:rPr>
              <w:t xml:space="preserve"> The handover at §8 is specified by this plan, not by a contract, a charter clause, or a standing committee mandate. Every party named could decline it without breaching anything. This is the most consequential gap in the document.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BG-02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Two benefits are unreadable at the only remaining governance event.</w:t>
            </w:r>
            <w:r>
              <w:rPr>
                <w:b w:val="0"/>
                <w:i w:val="0"/>
                <w:sz w:val="17"/>
              </w:rPr>
              <w:t xml:space="preserve"> BEN-03 and BEN-06 need a full policy year; Gate 5 sits at 185 days. The two measures most likely to move the return are the two the Board will never see.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BG-03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No agreed attribution method for competitive effects.</w:t>
            </w:r>
            <w:r>
              <w:rPr>
                <w:b w:val="0"/>
                <w:i w:val="0"/>
                <w:sz w:val="17"/>
              </w:rPr>
              <w:t xml:space="preserve"> If volume disappoints, the plan cannot distinguish a distribution failure from a market in which every carrier's indexed annuity sales fell. Comparison is to plan, not to peers, because no peer data source has been funded.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BG-04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The trigger bands at §5 bind nobody outside the program.</w:t>
            </w:r>
            <w:r>
              <w:rPr>
                <w:b w:val="0"/>
                <w:i w:val="0"/>
                <w:sz w:val="17"/>
              </w:rPr>
              <w:t xml:space="preserve"> They are the Chair's committed responses while the program exists. After Gate 5 they are advice.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BG-05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Rider election and persistency interact, and the plan measures them separately.</w:t>
            </w:r>
            <w:r>
              <w:rPr>
                <w:b w:val="0"/>
                <w:i w:val="0"/>
                <w:sz w:val="17"/>
              </w:rPr>
              <w:t xml:space="preserve"> Higher election with worse persistency can look neutral in aggregate while changing the shape of the guarantee exposure materially. Corporate Actuarial's experience study handles this; the monthly reporting cannot.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10. Document Control &amp; Related Documents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Version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Date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Change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1.0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11 Jun 2026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Opened at the Gate 1 second convening alongside the approved business case.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1.1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16 Oct 2026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Trigger thresholds recomputed from the business-case model. Tolerance-consumed figure added at §6 following the GC-04 closure. No benefit realized; no change to the benefit set.</w:t>
            </w:r>
          </w:p>
        </w:tc>
      </w:tr>
    </w:tbl>
    <w:p/>
    <w:p>
      <w:pPr>
        <w:spacing w:after="120"/>
      </w:pPr>
      <w:r>
        <w:rPr>
          <w:b/>
          <w:i w:val="0"/>
          <w:sz w:val="20"/>
        </w:rPr>
        <w:t>Related documents:</w:t>
      </w:r>
      <w:r>
        <w:rPr>
          <w:sz w:val="20"/>
        </w:rPr>
        <w:t xml:space="preserve"> </w:t>
      </w:r>
      <w:r>
        <w:rPr>
          <w:b w:val="0"/>
          <w:i w:val="0"/>
          <w:sz w:val="20"/>
        </w:rPr>
        <w:t>Cost-Benefit Analysis</w:t>
      </w:r>
      <w:r>
        <w:rPr>
          <w:b w:val="0"/>
          <w:i w:val="0"/>
          <w:sz w:val="20"/>
        </w:rPr>
        <w:t xml:space="preserve"> §5–7 · </w:t>
      </w:r>
      <w:r>
        <w:rPr>
          <w:b w:val="0"/>
          <w:i w:val="0"/>
          <w:sz w:val="20"/>
        </w:rPr>
        <w:t>Gate 1 Business Case Package</w:t>
      </w:r>
      <w:r>
        <w:rPr>
          <w:b w:val="0"/>
          <w:i w:val="0"/>
          <w:sz w:val="20"/>
        </w:rPr>
        <w:t xml:space="preserve"> · </w:t>
      </w:r>
      <w:r>
        <w:rPr>
          <w:b w:val="0"/>
          <w:i w:val="0"/>
          <w:sz w:val="20"/>
        </w:rPr>
        <w:t>Gate Conditions Register</w:t>
      </w:r>
      <w:r>
        <w:rPr>
          <w:b w:val="0"/>
          <w:i w:val="0"/>
          <w:sz w:val="20"/>
        </w:rPr>
        <w:t xml:space="preserve"> (GC-04 efficacy finding) · </w:t>
      </w:r>
      <w:r>
        <w:rPr>
          <w:b w:val="0"/>
          <w:i w:val="0"/>
          <w:sz w:val="20"/>
        </w:rPr>
        <w:t>RAIDD Log</w:t>
      </w:r>
      <w:r>
        <w:rPr>
          <w:b w:val="0"/>
          <w:i w:val="0"/>
          <w:sz w:val="20"/>
        </w:rPr>
        <w:t xml:space="preserve"> (I-06, R-07) · </w:t>
      </w:r>
      <w:r>
        <w:rPr>
          <w:b w:val="0"/>
          <w:i w:val="0"/>
          <w:sz w:val="20"/>
        </w:rPr>
        <w:t>Stage-Gate Governance Model</w:t>
      </w:r>
      <w:r>
        <w:rPr>
          <w:b w:val="0"/>
          <w:i w:val="0"/>
          <w:sz w:val="20"/>
        </w:rPr>
        <w:t xml:space="preserve"> (Gate 5 mandate).</w:t>
      </w:r>
    </w:p>
    <w:p>
      <w:pPr>
        <w:spacing w:after="120"/>
      </w:pPr>
      <w:r>
        <w:rPr>
          <w:b w:val="0"/>
          <w:i w:val="0"/>
          <w:sz w:val="20"/>
        </w:rPr>
        <w:t>Maintained by C. Tyrrell, NPD Program Manager and Chair of the Gate Review Board, until the Gate 5 handover at §8.</w:t>
      </w:r>
    </w:p>
    <w:p/>
    <w:p>
      <w:pPr>
        <w:jc w:val="left"/>
      </w:pPr>
      <w:r>
        <w:rPr>
          <w:color w:val="5B6472"/>
          <w:sz w:val="15"/>
        </w:rPr>
        <w:t>Lighthouse Financial Services Company — Beacon Index Advantage program. Fictional portfolio artifact produced by C. Tyrrell to</w:t>
        <w:br/>
        <w:t>demonstrate stage-gate new product development governance. No real company, product, person or</w:t>
        <w:br/>
        <w:t>filing is depicted.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