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2B5F8E"/>
          <w:sz w:val="16"/>
        </w:rPr>
        <w:t>LIVE REGISTER · BETWEEN GATE 1 AND GATE 2</w:t>
      </w:r>
    </w:p>
    <w:p>
      <w:r>
        <w:rPr>
          <w:b/>
          <w:color w:val="12304A"/>
          <w:sz w:val="44"/>
        </w:rPr>
        <w:t>Change Control Log</w:t>
      </w:r>
    </w:p>
    <w:p>
      <w:r>
        <w:rPr>
          <w:i/>
          <w:color w:val="6B7280"/>
          <w:sz w:val="17"/>
        </w:rPr>
        <w:t>Lighthouse Financial Services Company — Beacon Index Advantage program. Fictional portfolio artifact produced by C. Tyrrell to demonstrate stage-gate new product development governance. No real company, product, person or filing is depicted.</w:t>
      </w:r>
    </w:p>
    <w:p/>
    <w:p>
      <w:r>
        <w:t>Every scope, cost, schedule or vendor change raised on the Beacon Index Advantage program since Gate 0, with the decision taken and the reasoning behind it. Status date October 16, 2026. Each entry links to its full change request form in the Change Request Detail.</w:t>
      </w:r>
    </w:p>
    <w:p>
      <w:pPr>
        <w:spacing w:before="320"/>
      </w:pPr>
      <w:r>
        <w:rPr>
          <w:b/>
          <w:color w:val="12304A"/>
          <w:sz w:val="28"/>
        </w:rPr>
        <w:t>1. About this log</w:t>
      </w:r>
    </w:p>
    <w:p>
      <w:r>
        <w:t>A stage-gate program has two distinct control mechanisms and they are easy to confuse. The Gate Conditions Register records obligations the board attaches to a gate decision: things that must be true before the program may continue. This log records changes to the baseline between gates — scope, cost, schedule, vendor terms — whether or not a gate is anywhere near.</w:t>
      </w:r>
    </w:p>
    <w:p>
      <w:r>
        <w:t>The two interact. Three of the requests below exist because a gate condition obliged the program to act: a condition creates the obligation, but it is a change request that amends the baseline. Recording only the condition would leave the scope baseline silently out of date.</w:t>
      </w:r>
    </w:p>
    <w:p>
      <w:pPr>
        <w:spacing w:before="120"/>
        <w:ind w:left="360"/>
      </w:pPr>
      <w:r>
        <w:rPr>
          <w:i/>
          <w:color w:val="12304A"/>
          <w:sz w:val="20"/>
        </w:rPr>
        <w:t>What the funding model does to change control. Money is released one stage at a time. A request that would be routine on a fully baselined program — spend a little now to save more later — may here require releasing part of a tranche the board has not yet authorized. That is why CR-006 is deferred rather than decided on its merits: the merits were not the obstacle.</w:t>
      </w:r>
    </w:p>
    <w:p>
      <w:pPr>
        <w:spacing w:before="320"/>
      </w:pPr>
      <w:r>
        <w:rPr>
          <w:b/>
          <w:color w:val="12304A"/>
          <w:sz w:val="28"/>
        </w:rPr>
        <w:t>2. Change requests at a glance</w:t>
      </w:r>
    </w:p>
    <w:tbl>
      <w:tblPr>
        <w:tblStyle w:val="LightGrid-Accent1"/>
        <w:tblW w:type="auto" w:w="0"/>
        <w:jc w:val="center"/>
        <w:tblLook w:firstColumn="1" w:firstRow="1" w:lastColumn="0" w:lastRow="0" w:noHBand="0" w:noVBand="1" w:val="04A0"/>
      </w:tblPr>
      <w:tblGrid>
        <w:gridCol w:w="1608"/>
        <w:gridCol w:w="1608"/>
        <w:gridCol w:w="1608"/>
        <w:gridCol w:w="1608"/>
        <w:gridCol w:w="1608"/>
        <w:gridCol w:w="1608"/>
      </w:tblGrid>
      <w:tr>
        <w:tc>
          <w:tcPr>
            <w:tcW w:type="dxa" w:w="1608"/>
          </w:tcPr>
          <w:p>
            <w:r>
              <w:rPr>
                <w:b/>
                <w:sz w:val="17"/>
              </w:rPr>
              <w:t>ID</w:t>
            </w:r>
          </w:p>
        </w:tc>
        <w:tc>
          <w:tcPr>
            <w:tcW w:type="dxa" w:w="1608"/>
          </w:tcPr>
          <w:p>
            <w:r>
              <w:rPr>
                <w:b/>
                <w:sz w:val="17"/>
              </w:rPr>
              <w:t>Title</w:t>
            </w:r>
          </w:p>
        </w:tc>
        <w:tc>
          <w:tcPr>
            <w:tcW w:type="dxa" w:w="1608"/>
          </w:tcPr>
          <w:p>
            <w:r>
              <w:rPr>
                <w:b/>
                <w:sz w:val="17"/>
              </w:rPr>
              <w:t>Category</w:t>
            </w:r>
          </w:p>
        </w:tc>
        <w:tc>
          <w:tcPr>
            <w:tcW w:type="dxa" w:w="1608"/>
          </w:tcPr>
          <w:p>
            <w:r>
              <w:rPr>
                <w:b/>
                <w:sz w:val="17"/>
              </w:rPr>
              <w:t>Requestor</w:t>
            </w:r>
          </w:p>
        </w:tc>
        <w:tc>
          <w:tcPr>
            <w:tcW w:type="dxa" w:w="1608"/>
          </w:tcPr>
          <w:p>
            <w:r>
              <w:rPr>
                <w:b/>
                <w:sz w:val="17"/>
              </w:rPr>
              <w:t>Decided</w:t>
            </w:r>
          </w:p>
        </w:tc>
        <w:tc>
          <w:tcPr>
            <w:tcW w:type="dxa" w:w="1608"/>
          </w:tcPr>
          <w:p>
            <w:r>
              <w:rPr>
                <w:b/>
                <w:sz w:val="17"/>
              </w:rPr>
              <w:t>Decision</w:t>
            </w:r>
          </w:p>
        </w:tc>
      </w:tr>
      <w:tr>
        <w:tc>
          <w:tcPr>
            <w:tcW w:type="dxa" w:w="1608"/>
          </w:tcPr>
          <w:p>
            <w:r>
              <w:rPr>
                <w:sz w:val="17"/>
              </w:rPr>
              <w:t>CR-001</w:t>
            </w:r>
          </w:p>
        </w:tc>
        <w:tc>
          <w:tcPr>
            <w:tcW w:type="dxa" w:w="1608"/>
          </w:tcPr>
          <w:p>
            <w:r>
              <w:rPr>
                <w:sz w:val="17"/>
              </w:rPr>
              <w:t>Reduce launch crediting strategies from five to three</w:t>
            </w:r>
          </w:p>
        </w:tc>
        <w:tc>
          <w:tcPr>
            <w:tcW w:type="dxa" w:w="1608"/>
          </w:tcPr>
          <w:p>
            <w:r>
              <w:rPr>
                <w:sz w:val="17"/>
              </w:rPr>
              <w:t>Scope reduction</w:t>
            </w:r>
          </w:p>
        </w:tc>
        <w:tc>
          <w:tcPr>
            <w:tcW w:type="dxa" w:w="1608"/>
          </w:tcPr>
          <w:p>
            <w:r>
              <w:rPr>
                <w:sz w:val="17"/>
              </w:rPr>
              <w:t>D. Falkner</w:t>
            </w:r>
          </w:p>
        </w:tc>
        <w:tc>
          <w:tcPr>
            <w:tcW w:type="dxa" w:w="1608"/>
          </w:tcPr>
          <w:p>
            <w:r>
              <w:rPr>
                <w:sz w:val="17"/>
              </w:rPr>
              <w:t>2026-07-02</w:t>
            </w:r>
          </w:p>
        </w:tc>
        <w:tc>
          <w:tcPr>
            <w:tcW w:type="dxa" w:w="1608"/>
          </w:tcPr>
          <w:p>
            <w:r>
              <w:rPr>
                <w:sz w:val="17"/>
              </w:rPr>
              <w:t>Approved</w:t>
            </w:r>
          </w:p>
        </w:tc>
      </w:tr>
      <w:tr>
        <w:tc>
          <w:tcPr>
            <w:tcW w:type="dxa" w:w="1608"/>
          </w:tcPr>
          <w:p>
            <w:r>
              <w:rPr>
                <w:sz w:val="17"/>
              </w:rPr>
              <w:t>CR-002</w:t>
            </w:r>
          </w:p>
        </w:tc>
        <w:tc>
          <w:tcPr>
            <w:tcW w:type="dxa" w:w="1608"/>
          </w:tcPr>
          <w:p>
            <w:r>
              <w:rPr>
                <w:sz w:val="17"/>
              </w:rPr>
              <w:t>Remove New York from launch-state scope</w:t>
            </w:r>
          </w:p>
        </w:tc>
        <w:tc>
          <w:tcPr>
            <w:tcW w:type="dxa" w:w="1608"/>
          </w:tcPr>
          <w:p>
            <w:r>
              <w:rPr>
                <w:sz w:val="17"/>
              </w:rPr>
              <w:t>Scope reduction</w:t>
            </w:r>
          </w:p>
        </w:tc>
        <w:tc>
          <w:tcPr>
            <w:tcW w:type="dxa" w:w="1608"/>
          </w:tcPr>
          <w:p>
            <w:r>
              <w:rPr>
                <w:sz w:val="17"/>
              </w:rPr>
              <w:t>A. Nkemelu</w:t>
            </w:r>
          </w:p>
        </w:tc>
        <w:tc>
          <w:tcPr>
            <w:tcW w:type="dxa" w:w="1608"/>
          </w:tcPr>
          <w:p>
            <w:r>
              <w:rPr>
                <w:sz w:val="17"/>
              </w:rPr>
              <w:t>2026-06-30</w:t>
            </w:r>
          </w:p>
        </w:tc>
        <w:tc>
          <w:tcPr>
            <w:tcW w:type="dxa" w:w="1608"/>
          </w:tcPr>
          <w:p>
            <w:r>
              <w:rPr>
                <w:sz w:val="17"/>
              </w:rPr>
              <w:t>Approved</w:t>
            </w:r>
          </w:p>
        </w:tc>
      </w:tr>
      <w:tr>
        <w:tc>
          <w:tcPr>
            <w:tcW w:type="dxa" w:w="1608"/>
          </w:tcPr>
          <w:p>
            <w:r>
              <w:rPr>
                <w:sz w:val="17"/>
              </w:rPr>
              <w:t>CR-003</w:t>
            </w:r>
          </w:p>
        </w:tc>
        <w:tc>
          <w:tcPr>
            <w:tcW w:type="dxa" w:w="1608"/>
          </w:tcPr>
          <w:p>
            <w:r>
              <w:rPr>
                <w:sz w:val="17"/>
              </w:rPr>
              <w:t>Commission an independent external actuarial peer review of GLWB rider pricing</w:t>
            </w:r>
          </w:p>
        </w:tc>
        <w:tc>
          <w:tcPr>
            <w:tcW w:type="dxa" w:w="1608"/>
          </w:tcPr>
          <w:p>
            <w:r>
              <w:rPr>
                <w:sz w:val="17"/>
              </w:rPr>
              <w:t>Cost — contingency draw</w:t>
            </w:r>
          </w:p>
        </w:tc>
        <w:tc>
          <w:tcPr>
            <w:tcW w:type="dxa" w:w="1608"/>
          </w:tcPr>
          <w:p>
            <w:r>
              <w:rPr>
                <w:sz w:val="17"/>
              </w:rPr>
              <w:t>S. Ravichandran</w:t>
            </w:r>
          </w:p>
        </w:tc>
        <w:tc>
          <w:tcPr>
            <w:tcW w:type="dxa" w:w="1608"/>
          </w:tcPr>
          <w:p>
            <w:r>
              <w:rPr>
                <w:sz w:val="17"/>
              </w:rPr>
              <w:t>2026-07-16</w:t>
            </w:r>
          </w:p>
        </w:tc>
        <w:tc>
          <w:tcPr>
            <w:tcW w:type="dxa" w:w="1608"/>
          </w:tcPr>
          <w:p>
            <w:r>
              <w:rPr>
                <w:sz w:val="17"/>
              </w:rPr>
              <w:t>Approved</w:t>
            </w:r>
          </w:p>
        </w:tc>
      </w:tr>
      <w:tr>
        <w:tc>
          <w:tcPr>
            <w:tcW w:type="dxa" w:w="1608"/>
          </w:tcPr>
          <w:p>
            <w:r>
              <w:rPr>
                <w:sz w:val="17"/>
              </w:rPr>
              <w:t>CR-004</w:t>
            </w:r>
          </w:p>
        </w:tc>
        <w:tc>
          <w:tcPr>
            <w:tcW w:type="dxa" w:w="1608"/>
          </w:tcPr>
          <w:p>
            <w:r>
              <w:rPr>
                <w:sz w:val="17"/>
              </w:rPr>
              <w:t>Fund the Gate 1 recycle loop and re-work of the business case</w:t>
            </w:r>
          </w:p>
        </w:tc>
        <w:tc>
          <w:tcPr>
            <w:tcW w:type="dxa" w:w="1608"/>
          </w:tcPr>
          <w:p>
            <w:r>
              <w:rPr>
                <w:sz w:val="17"/>
              </w:rPr>
              <w:t>Cost — contingency draw</w:t>
            </w:r>
          </w:p>
        </w:tc>
        <w:tc>
          <w:tcPr>
            <w:tcW w:type="dxa" w:w="1608"/>
          </w:tcPr>
          <w:p>
            <w:r>
              <w:rPr>
                <w:sz w:val="17"/>
              </w:rPr>
              <w:t>C. Tyrrell</w:t>
            </w:r>
          </w:p>
        </w:tc>
        <w:tc>
          <w:tcPr>
            <w:tcW w:type="dxa" w:w="1608"/>
          </w:tcPr>
          <w:p>
            <w:r>
              <w:rPr>
                <w:sz w:val="17"/>
              </w:rPr>
              <w:t>2026-05-08</w:t>
            </w:r>
          </w:p>
        </w:tc>
        <w:tc>
          <w:tcPr>
            <w:tcW w:type="dxa" w:w="1608"/>
          </w:tcPr>
          <w:p>
            <w:r>
              <w:rPr>
                <w:sz w:val="17"/>
              </w:rPr>
              <w:t>Approved</w:t>
            </w:r>
          </w:p>
        </w:tc>
      </w:tr>
      <w:tr>
        <w:tc>
          <w:tcPr>
            <w:tcW w:type="dxa" w:w="1608"/>
          </w:tcPr>
          <w:p>
            <w:r>
              <w:rPr>
                <w:sz w:val="17"/>
              </w:rPr>
              <w:t>CR-005</w:t>
            </w:r>
          </w:p>
        </w:tc>
        <w:tc>
          <w:tcPr>
            <w:tcW w:type="dxa" w:w="1608"/>
          </w:tcPr>
          <w:p>
            <w:r>
              <w:rPr>
                <w:sz w:val="17"/>
              </w:rPr>
              <w:t>Increase the illustrated cap rate from 9.25% to 9.75% to lead the peer set</w:t>
            </w:r>
          </w:p>
        </w:tc>
        <w:tc>
          <w:tcPr>
            <w:tcW w:type="dxa" w:w="1608"/>
          </w:tcPr>
          <w:p>
            <w:r>
              <w:rPr>
                <w:sz w:val="17"/>
              </w:rPr>
              <w:t>Product pricing</w:t>
            </w:r>
          </w:p>
        </w:tc>
        <w:tc>
          <w:tcPr>
            <w:tcW w:type="dxa" w:w="1608"/>
          </w:tcPr>
          <w:p>
            <w:r>
              <w:rPr>
                <w:sz w:val="17"/>
              </w:rPr>
              <w:t>R. Castellanos</w:t>
            </w:r>
          </w:p>
        </w:tc>
        <w:tc>
          <w:tcPr>
            <w:tcW w:type="dxa" w:w="1608"/>
          </w:tcPr>
          <w:p>
            <w:r>
              <w:rPr>
                <w:sz w:val="17"/>
              </w:rPr>
              <w:t>2026-09-10</w:t>
            </w:r>
          </w:p>
        </w:tc>
        <w:tc>
          <w:tcPr>
            <w:tcW w:type="dxa" w:w="1608"/>
          </w:tcPr>
          <w:p>
            <w:r>
              <w:rPr>
                <w:sz w:val="17"/>
              </w:rPr>
              <w:t>Declined</w:t>
            </w:r>
          </w:p>
        </w:tc>
      </w:tr>
      <w:tr>
        <w:tc>
          <w:tcPr>
            <w:tcW w:type="dxa" w:w="1608"/>
          </w:tcPr>
          <w:p>
            <w:r>
              <w:rPr>
                <w:sz w:val="17"/>
              </w:rPr>
              <w:t>CR-006</w:t>
            </w:r>
          </w:p>
        </w:tc>
        <w:tc>
          <w:tcPr>
            <w:tcW w:type="dxa" w:w="1608"/>
          </w:tcPr>
          <w:p>
            <w:r>
              <w:rPr>
                <w:sz w:val="17"/>
              </w:rPr>
              <w:t>Add two wholesalers to close the coverage gap ahead of launch</w:t>
            </w:r>
          </w:p>
        </w:tc>
        <w:tc>
          <w:tcPr>
            <w:tcW w:type="dxa" w:w="1608"/>
          </w:tcPr>
          <w:p>
            <w:r>
              <w:rPr>
                <w:sz w:val="17"/>
              </w:rPr>
              <w:t>Resource / cost increase</w:t>
            </w:r>
          </w:p>
        </w:tc>
        <w:tc>
          <w:tcPr>
            <w:tcW w:type="dxa" w:w="1608"/>
          </w:tcPr>
          <w:p>
            <w:r>
              <w:rPr>
                <w:sz w:val="17"/>
              </w:rPr>
              <w:t>R. Castellanos</w:t>
            </w:r>
          </w:p>
        </w:tc>
        <w:tc>
          <w:tcPr>
            <w:tcW w:type="dxa" w:w="1608"/>
          </w:tcPr>
          <w:p>
            <w:r>
              <w:rPr>
                <w:sz w:val="17"/>
              </w:rPr>
              <w:t>2026-10-01</w:t>
            </w:r>
          </w:p>
        </w:tc>
        <w:tc>
          <w:tcPr>
            <w:tcW w:type="dxa" w:w="1608"/>
          </w:tcPr>
          <w:p>
            <w:r>
              <w:rPr>
                <w:sz w:val="17"/>
              </w:rPr>
              <w:t>Deferred</w:t>
            </w:r>
          </w:p>
        </w:tc>
      </w:tr>
      <w:tr>
        <w:tc>
          <w:tcPr>
            <w:tcW w:type="dxa" w:w="1608"/>
          </w:tcPr>
          <w:p>
            <w:r>
              <w:rPr>
                <w:sz w:val="17"/>
              </w:rPr>
              <w:t>CR-007</w:t>
            </w:r>
          </w:p>
        </w:tc>
        <w:tc>
          <w:tcPr>
            <w:tcW w:type="dxa" w:w="1608"/>
          </w:tcPr>
          <w:p>
            <w:r>
              <w:rPr>
                <w:sz w:val="17"/>
              </w:rPr>
              <w:t>Engage external derivatives counsel to accelerate the second ISDA execution</w:t>
            </w:r>
          </w:p>
        </w:tc>
        <w:tc>
          <w:tcPr>
            <w:tcW w:type="dxa" w:w="1608"/>
          </w:tcPr>
          <w:p>
            <w:r>
              <w:rPr>
                <w:sz w:val="17"/>
              </w:rPr>
              <w:t>Cost increase</w:t>
            </w:r>
          </w:p>
        </w:tc>
        <w:tc>
          <w:tcPr>
            <w:tcW w:type="dxa" w:w="1608"/>
          </w:tcPr>
          <w:p>
            <w:r>
              <w:rPr>
                <w:sz w:val="17"/>
              </w:rPr>
              <w:t>M. Delacroix</w:t>
            </w:r>
          </w:p>
        </w:tc>
        <w:tc>
          <w:tcPr>
            <w:tcW w:type="dxa" w:w="1608"/>
          </w:tcPr>
          <w:p>
            <w:r>
              <w:rPr>
                <w:sz w:val="17"/>
              </w:rPr>
              <w:t>2026-10-08</w:t>
            </w:r>
          </w:p>
        </w:tc>
        <w:tc>
          <w:tcPr>
            <w:tcW w:type="dxa" w:w="1608"/>
          </w:tcPr>
          <w:p>
            <w:r>
              <w:rPr>
                <w:sz w:val="17"/>
              </w:rPr>
              <w:t>Declined</w:t>
            </w:r>
          </w:p>
        </w:tc>
      </w:tr>
      <w:tr>
        <w:tc>
          <w:tcPr>
            <w:tcW w:type="dxa" w:w="1608"/>
          </w:tcPr>
          <w:p>
            <w:r>
              <w:rPr>
                <w:sz w:val="17"/>
              </w:rPr>
              <w:t>CR-008</w:t>
            </w:r>
          </w:p>
        </w:tc>
        <w:tc>
          <w:tcPr>
            <w:tcW w:type="dxa" w:w="1608"/>
          </w:tcPr>
          <w:p>
            <w:r>
              <w:rPr>
                <w:sz w:val="17"/>
              </w:rPr>
              <w:t>Add a second administration platform environment to Cordelane WP-1</w:t>
            </w:r>
          </w:p>
        </w:tc>
        <w:tc>
          <w:tcPr>
            <w:tcW w:type="dxa" w:w="1608"/>
          </w:tcPr>
          <w:p>
            <w:r>
              <w:rPr>
                <w:sz w:val="17"/>
              </w:rPr>
              <w:t>Vendor scope</w:t>
            </w:r>
          </w:p>
        </w:tc>
        <w:tc>
          <w:tcPr>
            <w:tcW w:type="dxa" w:w="1608"/>
          </w:tcPr>
          <w:p>
            <w:r>
              <w:rPr>
                <w:sz w:val="17"/>
              </w:rPr>
              <w:t>Cordelane Systems (via vendor manager)</w:t>
            </w:r>
          </w:p>
        </w:tc>
        <w:tc>
          <w:tcPr>
            <w:tcW w:type="dxa" w:w="1608"/>
          </w:tcPr>
          <w:p>
            <w:r>
              <w:rPr>
                <w:sz w:val="17"/>
              </w:rPr>
              <w:t>2026-10-14</w:t>
            </w:r>
          </w:p>
        </w:tc>
        <w:tc>
          <w:tcPr>
            <w:tcW w:type="dxa" w:w="1608"/>
          </w:tcPr>
          <w:p>
            <w:r>
              <w:rPr>
                <w:sz w:val="17"/>
              </w:rPr>
              <w:t>Approved w/ mod</w:t>
            </w:r>
          </w:p>
        </w:tc>
      </w:tr>
    </w:tbl>
    <w:p/>
    <w:p>
      <w:pPr>
        <w:spacing w:before="320"/>
      </w:pPr>
      <w:r>
        <w:rPr>
          <w:b/>
          <w:color w:val="12304A"/>
          <w:sz w:val="28"/>
        </w:rPr>
        <w:t>3. Decision profile</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Outcome</w:t>
            </w:r>
          </w:p>
        </w:tc>
        <w:tc>
          <w:tcPr>
            <w:tcW w:type="dxa" w:w="3216"/>
          </w:tcPr>
          <w:p>
            <w:r>
              <w:rPr>
                <w:b/>
                <w:sz w:val="17"/>
              </w:rPr>
              <w:t>Count</w:t>
            </w:r>
          </w:p>
        </w:tc>
        <w:tc>
          <w:tcPr>
            <w:tcW w:type="dxa" w:w="3216"/>
          </w:tcPr>
          <w:p>
            <w:r>
              <w:rPr>
                <w:b/>
                <w:sz w:val="17"/>
              </w:rPr>
              <w:t>What it means here</w:t>
            </w:r>
          </w:p>
        </w:tc>
      </w:tr>
      <w:tr>
        <w:tc>
          <w:tcPr>
            <w:tcW w:type="dxa" w:w="3216"/>
          </w:tcPr>
          <w:p>
            <w:r>
              <w:rPr>
                <w:sz w:val="17"/>
              </w:rPr>
              <w:t>Approved</w:t>
            </w:r>
          </w:p>
        </w:tc>
        <w:tc>
          <w:tcPr>
            <w:tcW w:type="dxa" w:w="3216"/>
          </w:tcPr>
          <w:p>
            <w:r>
              <w:rPr>
                <w:sz w:val="17"/>
              </w:rPr>
              <w:t>5</w:t>
            </w:r>
          </w:p>
        </w:tc>
        <w:tc>
          <w:tcPr>
            <w:tcW w:type="dxa" w:w="3216"/>
          </w:tcPr>
          <w:p>
            <w:r>
              <w:rPr>
                <w:sz w:val="17"/>
              </w:rPr>
              <w:t>Baseline amended. Includes one approved with modification (CR-008), where the change was accepted but not on the terms requested.</w:t>
            </w:r>
          </w:p>
        </w:tc>
      </w:tr>
      <w:tr>
        <w:tc>
          <w:tcPr>
            <w:tcW w:type="dxa" w:w="3216"/>
          </w:tcPr>
          <w:p>
            <w:r>
              <w:rPr>
                <w:sz w:val="17"/>
              </w:rPr>
              <w:t>Declined</w:t>
            </w:r>
          </w:p>
        </w:tc>
        <w:tc>
          <w:tcPr>
            <w:tcW w:type="dxa" w:w="3216"/>
          </w:tcPr>
          <w:p>
            <w:r>
              <w:rPr>
                <w:sz w:val="17"/>
              </w:rPr>
              <w:t>2</w:t>
            </w:r>
          </w:p>
        </w:tc>
        <w:tc>
          <w:tcPr>
            <w:tcW w:type="dxa" w:w="3216"/>
          </w:tcPr>
          <w:p>
            <w:r>
              <w:rPr>
                <w:sz w:val="17"/>
              </w:rPr>
              <w:t>Baseline unchanged and the underlying problem explicitly left open, with the reasoning recorded. Neither decline resolved the issue that prompted it.</w:t>
            </w:r>
          </w:p>
        </w:tc>
      </w:tr>
      <w:tr>
        <w:tc>
          <w:tcPr>
            <w:tcW w:type="dxa" w:w="3216"/>
          </w:tcPr>
          <w:p>
            <w:r>
              <w:rPr>
                <w:sz w:val="17"/>
              </w:rPr>
              <w:t>Deferred</w:t>
            </w:r>
          </w:p>
        </w:tc>
        <w:tc>
          <w:tcPr>
            <w:tcW w:type="dxa" w:w="3216"/>
          </w:tcPr>
          <w:p>
            <w:r>
              <w:rPr>
                <w:sz w:val="17"/>
              </w:rPr>
              <w:t>1</w:t>
            </w:r>
          </w:p>
        </w:tc>
        <w:tc>
          <w:tcPr>
            <w:tcW w:type="dxa" w:w="3216"/>
          </w:tcPr>
          <w:p>
            <w:r>
              <w:rPr>
                <w:sz w:val="17"/>
              </w:rPr>
              <w:t>Merits accepted; the decision belongs at a gate because the funding does.</w:t>
            </w:r>
          </w:p>
        </w:tc>
      </w:tr>
    </w:tbl>
    <w:p/>
    <w:p>
      <w:pPr>
        <w:spacing w:before="120"/>
        <w:ind w:left="360"/>
      </w:pPr>
      <w:r>
        <w:rPr>
          <w:i/>
          <w:color w:val="12304A"/>
          <w:sz w:val="20"/>
        </w:rPr>
        <w:t>Two of eight requests were declined, and that is the number worth reading. A change register in which everything is approved is not a control — it is a log of things that happened. The board's willingness to decline CR-005 and CR-007 is what makes the five approvals mean anything. ⚠ Note also that neither decline solved the problem that prompted it: the coverage gap behind CR-005 and the hedging readiness risk behind CR-007 both remain open and are carried to Gate 2. Declining a request is not the same as answering it, and the log says so rather than closing the thread.</w:t>
      </w:r>
    </w:p>
    <w:p>
      <w:pPr>
        <w:spacing w:before="320"/>
      </w:pPr>
      <w:r>
        <w:rPr>
          <w:b/>
          <w:color w:val="12304A"/>
          <w:sz w:val="28"/>
        </w:rPr>
        <w:t>4. Financial effect</w:t>
      </w:r>
    </w:p>
    <w:p>
      <w:r>
        <w:t>Two requests drew on contingency, and they are the only two draws the program has made: $232,000 for the Gate 1 recycle loop (CR-004) and $180,000 for the external actuarial peer review (CR-003). Together $412,000 of the $2,304,000 reserve, or 18%.</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Request</w:t>
            </w:r>
          </w:p>
        </w:tc>
        <w:tc>
          <w:tcPr>
            <w:tcW w:type="dxa" w:w="3216"/>
          </w:tcPr>
          <w:p>
            <w:r>
              <w:rPr>
                <w:b/>
                <w:sz w:val="17"/>
              </w:rPr>
              <w:t>Cost effect</w:t>
            </w:r>
          </w:p>
        </w:tc>
        <w:tc>
          <w:tcPr>
            <w:tcW w:type="dxa" w:w="3216"/>
          </w:tcPr>
          <w:p>
            <w:r>
              <w:rPr>
                <w:b/>
                <w:sz w:val="17"/>
              </w:rPr>
              <w:t>Funding source</w:t>
            </w:r>
          </w:p>
        </w:tc>
      </w:tr>
      <w:tr>
        <w:tc>
          <w:tcPr>
            <w:tcW w:type="dxa" w:w="3216"/>
          </w:tcPr>
          <w:p>
            <w:r>
              <w:rPr>
                <w:sz w:val="17"/>
              </w:rPr>
              <w:t>CR-001 · CR-002</w:t>
            </w:r>
          </w:p>
        </w:tc>
        <w:tc>
          <w:tcPr>
            <w:tcW w:type="dxa" w:w="3216"/>
          </w:tcPr>
          <w:p>
            <w:r>
              <w:rPr>
                <w:sz w:val="17"/>
              </w:rPr>
              <w:t>Net reduction</w:t>
            </w:r>
          </w:p>
        </w:tc>
        <w:tc>
          <w:tcPr>
            <w:tcW w:type="dxa" w:w="3216"/>
          </w:tcPr>
          <w:p>
            <w:r>
              <w:rPr>
                <w:sz w:val="17"/>
              </w:rPr>
              <w:t>Savings retained in the stage envelope; not re-baselined and not released.</w:t>
            </w:r>
          </w:p>
        </w:tc>
      </w:tr>
      <w:tr>
        <w:tc>
          <w:tcPr>
            <w:tcW w:type="dxa" w:w="3216"/>
          </w:tcPr>
          <w:p>
            <w:r>
              <w:rPr>
                <w:sz w:val="17"/>
              </w:rPr>
              <w:t>CR-003</w:t>
            </w:r>
          </w:p>
        </w:tc>
        <w:tc>
          <w:tcPr>
            <w:tcW w:type="dxa" w:w="3216"/>
          </w:tcPr>
          <w:p>
            <w:r>
              <w:rPr>
                <w:sz w:val="17"/>
              </w:rPr>
              <w:t>$180,000</w:t>
            </w:r>
          </w:p>
        </w:tc>
        <w:tc>
          <w:tcPr>
            <w:tcW w:type="dxa" w:w="3216"/>
          </w:tcPr>
          <w:p>
            <w:r>
              <w:rPr>
                <w:sz w:val="17"/>
              </w:rPr>
              <w:t>Contingency, CFO concurrence.</w:t>
            </w:r>
          </w:p>
        </w:tc>
      </w:tr>
      <w:tr>
        <w:tc>
          <w:tcPr>
            <w:tcW w:type="dxa" w:w="3216"/>
          </w:tcPr>
          <w:p>
            <w:r>
              <w:rPr>
                <w:sz w:val="17"/>
              </w:rPr>
              <w:t>CR-004</w:t>
            </w:r>
          </w:p>
        </w:tc>
        <w:tc>
          <w:tcPr>
            <w:tcW w:type="dxa" w:w="3216"/>
          </w:tcPr>
          <w:p>
            <w:r>
              <w:rPr>
                <w:sz w:val="17"/>
              </w:rPr>
              <w:t>$232,000</w:t>
            </w:r>
          </w:p>
        </w:tc>
        <w:tc>
          <w:tcPr>
            <w:tcW w:type="dxa" w:w="3216"/>
          </w:tcPr>
          <w:p>
            <w:r>
              <w:rPr>
                <w:sz w:val="17"/>
              </w:rPr>
              <w:t>Contingency, CFO concurrence.</w:t>
            </w:r>
          </w:p>
        </w:tc>
      </w:tr>
      <w:tr>
        <w:tc>
          <w:tcPr>
            <w:tcW w:type="dxa" w:w="3216"/>
          </w:tcPr>
          <w:p>
            <w:r>
              <w:rPr>
                <w:sz w:val="17"/>
              </w:rPr>
              <w:t>CR-005 · CR-007</w:t>
            </w:r>
          </w:p>
        </w:tc>
        <w:tc>
          <w:tcPr>
            <w:tcW w:type="dxa" w:w="3216"/>
          </w:tcPr>
          <w:p>
            <w:r>
              <w:rPr>
                <w:sz w:val="17"/>
              </w:rPr>
              <w:t>None</w:t>
            </w:r>
          </w:p>
        </w:tc>
        <w:tc>
          <w:tcPr>
            <w:tcW w:type="dxa" w:w="3216"/>
          </w:tcPr>
          <w:p>
            <w:r>
              <w:rPr>
                <w:sz w:val="17"/>
              </w:rPr>
              <w:t>Declined.</w:t>
            </w:r>
          </w:p>
        </w:tc>
      </w:tr>
      <w:tr>
        <w:tc>
          <w:tcPr>
            <w:tcW w:type="dxa" w:w="3216"/>
          </w:tcPr>
          <w:p>
            <w:r>
              <w:rPr>
                <w:sz w:val="17"/>
              </w:rPr>
              <w:t>CR-006</w:t>
            </w:r>
          </w:p>
        </w:tc>
        <w:tc>
          <w:tcPr>
            <w:tcW w:type="dxa" w:w="3216"/>
          </w:tcPr>
          <w:p>
            <w:r>
              <w:rPr>
                <w:sz w:val="17"/>
              </w:rPr>
              <w:t>Deferred</w:t>
            </w:r>
          </w:p>
        </w:tc>
        <w:tc>
          <w:tcPr>
            <w:tcW w:type="dxa" w:w="3216"/>
          </w:tcPr>
          <w:p>
            <w:r>
              <w:rPr>
                <w:sz w:val="17"/>
              </w:rPr>
              <w:t>Would require early release of the Stage 3 tranche.</w:t>
            </w:r>
          </w:p>
        </w:tc>
      </w:tr>
      <w:tr>
        <w:tc>
          <w:tcPr>
            <w:tcW w:type="dxa" w:w="3216"/>
          </w:tcPr>
          <w:p>
            <w:r>
              <w:rPr>
                <w:sz w:val="17"/>
              </w:rPr>
              <w:t>CR-008</w:t>
            </w:r>
          </w:p>
        </w:tc>
        <w:tc>
          <w:tcPr>
            <w:tcW w:type="dxa" w:w="3216"/>
          </w:tcPr>
          <w:p>
            <w:r>
              <w:rPr>
                <w:sz w:val="17"/>
              </w:rPr>
              <w:t>$0</w:t>
            </w:r>
          </w:p>
        </w:tc>
        <w:tc>
          <w:tcPr>
            <w:tcW w:type="dxa" w:w="3216"/>
          </w:tcPr>
          <w:p>
            <w:r>
              <w:rPr>
                <w:sz w:val="17"/>
              </w:rPr>
              <w:t>Absorbed inside the authorized Cordelane WP-1 value by moving the provisioning date.</w:t>
            </w:r>
          </w:p>
        </w:tc>
      </w:tr>
    </w:tbl>
    <w:p/>
    <w:p>
      <w:r>
        <w:t>⚠ The savings from CR-001 and CR-002 were deliberately not re-baselined into a lower authorized ceiling. On a stage-gate program the tranche is an authorization to spend up to a limit, not a forecast; reducing the ceiling every time scope narrows would leave no absorption capacity for the change requests that follow, and would make each subsequent request a board matter.</w:t>
      </w:r>
    </w:p>
    <w:p>
      <w:pPr>
        <w:spacing w:before="320"/>
      </w:pPr>
      <w:r>
        <w:rPr>
          <w:b/>
          <w:color w:val="12304A"/>
          <w:sz w:val="28"/>
        </w:rPr>
        <w:t>5. Where change requests come from</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Origin</w:t>
            </w:r>
          </w:p>
        </w:tc>
        <w:tc>
          <w:tcPr>
            <w:tcW w:type="dxa" w:w="3216"/>
          </w:tcPr>
          <w:p>
            <w:r>
              <w:rPr>
                <w:b/>
                <w:sz w:val="17"/>
              </w:rPr>
              <w:t>Count</w:t>
            </w:r>
          </w:p>
        </w:tc>
        <w:tc>
          <w:tcPr>
            <w:tcW w:type="dxa" w:w="3216"/>
          </w:tcPr>
          <w:p>
            <w:r>
              <w:rPr>
                <w:b/>
                <w:sz w:val="17"/>
              </w:rPr>
              <w:t>Requests</w:t>
            </w:r>
          </w:p>
        </w:tc>
      </w:tr>
      <w:tr>
        <w:tc>
          <w:tcPr>
            <w:tcW w:type="dxa" w:w="3216"/>
          </w:tcPr>
          <w:p>
            <w:r>
              <w:rPr>
                <w:sz w:val="17"/>
              </w:rPr>
              <w:t>Executing a gate condition</w:t>
            </w:r>
          </w:p>
        </w:tc>
        <w:tc>
          <w:tcPr>
            <w:tcW w:type="dxa" w:w="3216"/>
          </w:tcPr>
          <w:p>
            <w:r>
              <w:rPr>
                <w:sz w:val="17"/>
              </w:rPr>
              <w:t>3</w:t>
            </w:r>
          </w:p>
        </w:tc>
        <w:tc>
          <w:tcPr>
            <w:tcW w:type="dxa" w:w="3216"/>
          </w:tcPr>
          <w:p>
            <w:r>
              <w:rPr>
                <w:sz w:val="17"/>
              </w:rPr>
              <w:t>CR-001 (GC-01), CR-002 (GC-02), CR-003 (GC-03)</w:t>
            </w:r>
          </w:p>
        </w:tc>
      </w:tr>
      <w:tr>
        <w:tc>
          <w:tcPr>
            <w:tcW w:type="dxa" w:w="3216"/>
          </w:tcPr>
          <w:p>
            <w:r>
              <w:rPr>
                <w:sz w:val="17"/>
              </w:rPr>
              <w:t>A gate outcome the funding model does not cover</w:t>
            </w:r>
          </w:p>
        </w:tc>
        <w:tc>
          <w:tcPr>
            <w:tcW w:type="dxa" w:w="3216"/>
          </w:tcPr>
          <w:p>
            <w:r>
              <w:rPr>
                <w:sz w:val="17"/>
              </w:rPr>
              <w:t>1</w:t>
            </w:r>
          </w:p>
        </w:tc>
        <w:tc>
          <w:tcPr>
            <w:tcW w:type="dxa" w:w="3216"/>
          </w:tcPr>
          <w:p>
            <w:r>
              <w:rPr>
                <w:sz w:val="17"/>
              </w:rPr>
              <w:t>CR-004 (the Gate 1 recycle)</w:t>
            </w:r>
          </w:p>
        </w:tc>
      </w:tr>
      <w:tr>
        <w:tc>
          <w:tcPr>
            <w:tcW w:type="dxa" w:w="3216"/>
          </w:tcPr>
          <w:p>
            <w:r>
              <w:rPr>
                <w:sz w:val="17"/>
              </w:rPr>
              <w:t>Distribution pressure on the volume assumption</w:t>
            </w:r>
          </w:p>
        </w:tc>
        <w:tc>
          <w:tcPr>
            <w:tcW w:type="dxa" w:w="3216"/>
          </w:tcPr>
          <w:p>
            <w:r>
              <w:rPr>
                <w:sz w:val="17"/>
              </w:rPr>
              <w:t>2</w:t>
            </w:r>
          </w:p>
        </w:tc>
        <w:tc>
          <w:tcPr>
            <w:tcW w:type="dxa" w:w="3216"/>
          </w:tcPr>
          <w:p>
            <w:r>
              <w:rPr>
                <w:sz w:val="17"/>
              </w:rPr>
              <w:t>CR-005, CR-006</w:t>
            </w:r>
          </w:p>
        </w:tc>
      </w:tr>
      <w:tr>
        <w:tc>
          <w:tcPr>
            <w:tcW w:type="dxa" w:w="3216"/>
          </w:tcPr>
          <w:p>
            <w:r>
              <w:rPr>
                <w:sz w:val="17"/>
              </w:rPr>
              <w:t>An open risk or dependency</w:t>
            </w:r>
          </w:p>
        </w:tc>
        <w:tc>
          <w:tcPr>
            <w:tcW w:type="dxa" w:w="3216"/>
          </w:tcPr>
          <w:p>
            <w:r>
              <w:rPr>
                <w:sz w:val="17"/>
              </w:rPr>
              <w:t>1</w:t>
            </w:r>
          </w:p>
        </w:tc>
        <w:tc>
          <w:tcPr>
            <w:tcW w:type="dxa" w:w="3216"/>
          </w:tcPr>
          <w:p>
            <w:r>
              <w:rPr>
                <w:sz w:val="17"/>
              </w:rPr>
              <w:t>CR-007 (R-05, DEP-06)</w:t>
            </w:r>
          </w:p>
        </w:tc>
      </w:tr>
      <w:tr>
        <w:tc>
          <w:tcPr>
            <w:tcW w:type="dxa" w:w="3216"/>
          </w:tcPr>
          <w:p>
            <w:r>
              <w:rPr>
                <w:sz w:val="17"/>
              </w:rPr>
              <w:t>Vendor-initiated</w:t>
            </w:r>
          </w:p>
        </w:tc>
        <w:tc>
          <w:tcPr>
            <w:tcW w:type="dxa" w:w="3216"/>
          </w:tcPr>
          <w:p>
            <w:r>
              <w:rPr>
                <w:sz w:val="17"/>
              </w:rPr>
              <w:t>1</w:t>
            </w:r>
          </w:p>
        </w:tc>
        <w:tc>
          <w:tcPr>
            <w:tcW w:type="dxa" w:w="3216"/>
          </w:tcPr>
          <w:p>
            <w:r>
              <w:rPr>
                <w:sz w:val="17"/>
              </w:rPr>
              <w:t>CR-008</w:t>
            </w:r>
          </w:p>
        </w:tc>
      </w:tr>
    </w:tbl>
    <w:p/>
    <w:p>
      <w:r>
        <w:t>Half the register exists because of a decision the board itself took — three conditions and one recycle. That is characteristic of stage-gate governance and not a sign of instability: a board that attaches conditions is a board that generates change requests, and a program that recorded the conditions but not their effect on the baseline would look more stable than it is.</w:t>
      </w:r>
    </w:p>
    <w:p>
      <w:pPr>
        <w:spacing w:before="320"/>
      </w:pPr>
      <w:r>
        <w:rPr>
          <w:b/>
          <w:color w:val="12304A"/>
          <w:sz w:val="28"/>
        </w:rPr>
        <w:t>6. How a change is raised and decided</w:t>
      </w:r>
    </w:p>
    <w:p>
      <w:r>
        <w:t>Change authority on this program is deliberately split, because routing every request to a seven-member board that meets at gates would either stall the program between gates or push people to make changes without recording them. The thresholds below are set in the Stage-Gate Governance Model §9.</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Authority</w:t>
            </w:r>
          </w:p>
        </w:tc>
        <w:tc>
          <w:tcPr>
            <w:tcW w:type="dxa" w:w="3216"/>
          </w:tcPr>
          <w:p>
            <w:r>
              <w:rPr>
                <w:b/>
                <w:sz w:val="17"/>
              </w:rPr>
              <w:t>May decide</w:t>
            </w:r>
          </w:p>
        </w:tc>
        <w:tc>
          <w:tcPr>
            <w:tcW w:type="dxa" w:w="3216"/>
          </w:tcPr>
          <w:p>
            <w:r>
              <w:rPr>
                <w:b/>
                <w:sz w:val="17"/>
              </w:rPr>
              <w:t>Constraint</w:t>
            </w:r>
          </w:p>
        </w:tc>
      </w:tr>
      <w:tr>
        <w:tc>
          <w:tcPr>
            <w:tcW w:type="dxa" w:w="3216"/>
          </w:tcPr>
          <w:p>
            <w:r>
              <w:rPr>
                <w:sz w:val="17"/>
              </w:rPr>
              <w:t>Program Manager (Chair)</w:t>
            </w:r>
          </w:p>
        </w:tc>
        <w:tc>
          <w:tcPr>
            <w:tcW w:type="dxa" w:w="3216"/>
          </w:tcPr>
          <w:p>
            <w:r>
              <w:rPr>
                <w:sz w:val="17"/>
              </w:rPr>
              <w:t>Changes with no cost effect and no schedule effect on a gate date</w:t>
            </w:r>
          </w:p>
        </w:tc>
        <w:tc>
          <w:tcPr>
            <w:tcW w:type="dxa" w:w="3216"/>
          </w:tcPr>
          <w:p>
            <w:r>
              <w:rPr>
                <w:sz w:val="17"/>
              </w:rPr>
              <w:t>Recorded in this log within five business days. Vendor changes absorbed inside an authorized work package sit here — CR-008.</w:t>
            </w:r>
          </w:p>
        </w:tc>
      </w:tr>
      <w:tr>
        <w:tc>
          <w:tcPr>
            <w:tcW w:type="dxa" w:w="3216"/>
          </w:tcPr>
          <w:p>
            <w:r>
              <w:rPr>
                <w:sz w:val="17"/>
              </w:rPr>
              <w:t>Chair + the accountable executive</w:t>
            </w:r>
          </w:p>
        </w:tc>
        <w:tc>
          <w:tcPr>
            <w:tcW w:type="dxa" w:w="3216"/>
          </w:tcPr>
          <w:p>
            <w:r>
              <w:rPr>
                <w:sz w:val="17"/>
              </w:rPr>
              <w:t>Changes executing an existing gate condition</w:t>
            </w:r>
          </w:p>
        </w:tc>
        <w:tc>
          <w:tcPr>
            <w:tcW w:type="dxa" w:w="3216"/>
          </w:tcPr>
          <w:p>
            <w:r>
              <w:rPr>
                <w:sz w:val="17"/>
              </w:rPr>
              <w:t>Out-of-cycle decision permitted, because the board has already voted on the obligation. CR-001 and CR-002.</w:t>
            </w:r>
          </w:p>
        </w:tc>
      </w:tr>
      <w:tr>
        <w:tc>
          <w:tcPr>
            <w:tcW w:type="dxa" w:w="3216"/>
          </w:tcPr>
          <w:p>
            <w:r>
              <w:rPr>
                <w:sz w:val="17"/>
              </w:rPr>
              <w:t>Gate Review Board + CFO concurrence</w:t>
            </w:r>
          </w:p>
        </w:tc>
        <w:tc>
          <w:tcPr>
            <w:tcW w:type="dxa" w:w="3216"/>
          </w:tcPr>
          <w:p>
            <w:r>
              <w:rPr>
                <w:sz w:val="17"/>
              </w:rPr>
              <w:t>Any contingency release</w:t>
            </w:r>
          </w:p>
        </w:tc>
        <w:tc>
          <w:tcPr>
            <w:tcW w:type="dxa" w:w="3216"/>
          </w:tcPr>
          <w:p>
            <w:r>
              <w:rPr>
                <w:sz w:val="17"/>
              </w:rPr>
              <w:t>Contingency is a board reserve. Two draws to date, both recorded here.</w:t>
            </w:r>
          </w:p>
        </w:tc>
      </w:tr>
      <w:tr>
        <w:tc>
          <w:tcPr>
            <w:tcW w:type="dxa" w:w="3216"/>
          </w:tcPr>
          <w:p>
            <w:r>
              <w:rPr>
                <w:sz w:val="17"/>
              </w:rPr>
              <w:t>Gate Review Board at a gate</w:t>
            </w:r>
          </w:p>
        </w:tc>
        <w:tc>
          <w:tcPr>
            <w:tcW w:type="dxa" w:w="3216"/>
          </w:tcPr>
          <w:p>
            <w:r>
              <w:rPr>
                <w:sz w:val="17"/>
              </w:rPr>
              <w:t>Anything requiring release of an unauthorized tranche</w:t>
            </w:r>
          </w:p>
        </w:tc>
        <w:tc>
          <w:tcPr>
            <w:tcW w:type="dxa" w:w="3216"/>
          </w:tcPr>
          <w:p>
            <w:r>
              <w:rPr>
                <w:sz w:val="17"/>
              </w:rPr>
              <w:t>Cannot be taken out of cycle at all — the gate is the funding authorization. CR-006.</w:t>
            </w:r>
          </w:p>
        </w:tc>
      </w:tr>
    </w:tbl>
    <w:p/>
    <w:p>
      <w:r>
        <w:t>A request is raised on the standard form, which is the structure reproduced for every record in the detail. The form is not optional and it is not shortened for small changes: the impact assessment across scope, schedule, cost, quality and risk is what distinguishes an assessed change from an accepted one, and the alternatives section is what stops the first workable idea from becoming the decision.</w:t>
      </w:r>
    </w:p>
    <w:p>
      <w:pPr>
        <w:spacing w:before="120"/>
        <w:ind w:left="360"/>
      </w:pPr>
      <w:r>
        <w:rPr>
          <w:i/>
          <w:color w:val="12304A"/>
          <w:sz w:val="20"/>
        </w:rPr>
        <w:t>The one rule that does most of the work. Every form must state the consequence of not approving. ⚠ Without it a change request is an argument for a change rather than an assessment of one — the requestor is, understandably, the person least likely to volunteer what happens if their request is refused. On this register that field is where the board found its reasoning for declining CR-005 and CR-007, and for approving CR-004 despite it being an unplanned draw on a thin reserve.</w:t>
      </w:r>
    </w:p>
    <w:p>
      <w:pPr>
        <w:spacing w:before="320"/>
      </w:pPr>
      <w:r>
        <w:rPr>
          <w:b/>
          <w:color w:val="12304A"/>
          <w:sz w:val="28"/>
        </w:rPr>
        <w:t>7. What an approved change amends — and what a declined one does next</w:t>
      </w:r>
    </w:p>
    <w:p>
      <w:r>
        <w:t>An approved change request is not itself the baseline. It is an instruction to amend specific documents, and a register that does not name them produces a program whose baseline documents quietly disagree with its change log. Each approval below carries its amendment set.</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Request</w:t>
            </w:r>
          </w:p>
        </w:tc>
        <w:tc>
          <w:tcPr>
            <w:tcW w:type="dxa" w:w="4824"/>
          </w:tcPr>
          <w:p>
            <w:r>
              <w:rPr>
                <w:b/>
                <w:sz w:val="17"/>
              </w:rPr>
              <w:t>Documents amended on approval</w:t>
            </w:r>
          </w:p>
        </w:tc>
      </w:tr>
      <w:tr>
        <w:tc>
          <w:tcPr>
            <w:tcW w:type="dxa" w:w="4824"/>
          </w:tcPr>
          <w:p>
            <w:r>
              <w:rPr>
                <w:sz w:val="17"/>
              </w:rPr>
              <w:t>CR-001</w:t>
            </w:r>
          </w:p>
        </w:tc>
        <w:tc>
          <w:tcPr>
            <w:tcW w:type="dxa" w:w="4824"/>
          </w:tcPr>
          <w:p>
            <w:r>
              <w:rPr>
                <w:sz w:val="17"/>
              </w:rPr>
              <w:t>Product Requirements Document §4 crediting strategies; Test &amp; Validation Strategy illustration scope; the Stage 2 work package in the resource-loaded WBS.</w:t>
            </w:r>
          </w:p>
        </w:tc>
      </w:tr>
      <w:tr>
        <w:tc>
          <w:tcPr>
            <w:tcW w:type="dxa" w:w="4824"/>
          </w:tcPr>
          <w:p>
            <w:r>
              <w:rPr>
                <w:sz w:val="17"/>
              </w:rPr>
              <w:t>CR-002</w:t>
            </w:r>
          </w:p>
        </w:tc>
        <w:tc>
          <w:tcPr>
            <w:tcW w:type="dxa" w:w="4824"/>
          </w:tcPr>
          <w:p>
            <w:r>
              <w:rPr>
                <w:sz w:val="17"/>
              </w:rPr>
              <w:t>Regulatory Filing Plan launch-state set; the non-labor filing envelope in the Program Budget; a standalone deferral memorandum to distribution.</w:t>
            </w:r>
          </w:p>
        </w:tc>
      </w:tr>
      <w:tr>
        <w:tc>
          <w:tcPr>
            <w:tcW w:type="dxa" w:w="4824"/>
          </w:tcPr>
          <w:p>
            <w:r>
              <w:rPr>
                <w:sz w:val="17"/>
              </w:rPr>
              <w:t>CR-003</w:t>
            </w:r>
          </w:p>
        </w:tc>
        <w:tc>
          <w:tcPr>
            <w:tcW w:type="dxa" w:w="4824"/>
          </w:tcPr>
          <w:p>
            <w:r>
              <w:rPr>
                <w:sz w:val="17"/>
              </w:rPr>
              <w:t>Program Budget contingency schedule; Gate Conditions Register GC-03 evidence line.</w:t>
            </w:r>
          </w:p>
        </w:tc>
      </w:tr>
      <w:tr>
        <w:tc>
          <w:tcPr>
            <w:tcW w:type="dxa" w:w="4824"/>
          </w:tcPr>
          <w:p>
            <w:r>
              <w:rPr>
                <w:sz w:val="17"/>
              </w:rPr>
              <w:t>CR-004</w:t>
            </w:r>
          </w:p>
        </w:tc>
        <w:tc>
          <w:tcPr>
            <w:tcW w:type="dxa" w:w="4824"/>
          </w:tcPr>
          <w:p>
            <w:r>
              <w:rPr>
                <w:sz w:val="17"/>
              </w:rPr>
              <w:t>Program Budget contingency schedule; Stage 1 actuals.</w:t>
            </w:r>
          </w:p>
        </w:tc>
      </w:tr>
      <w:tr>
        <w:tc>
          <w:tcPr>
            <w:tcW w:type="dxa" w:w="4824"/>
          </w:tcPr>
          <w:p>
            <w:r>
              <w:rPr>
                <w:sz w:val="17"/>
              </w:rPr>
              <w:t>CR-008</w:t>
            </w:r>
          </w:p>
        </w:tc>
        <w:tc>
          <w:tcPr>
            <w:tcW w:type="dxa" w:w="4824"/>
          </w:tcPr>
          <w:p>
            <w:r>
              <w:rPr>
                <w:sz w:val="17"/>
              </w:rPr>
              <w:t>Cordelane SOW WP-1 environment schedule. No change to the authorized WP-1 value.</w:t>
            </w:r>
          </w:p>
        </w:tc>
      </w:tr>
    </w:tbl>
    <w:p/>
    <w:p>
      <w:r>
        <w:t>⚠ Note what is not on that list. No approval here amended the authorized ceiling of $27,904,000, and none amended a gate date. On a stage-gate program those two figures are the board’s, not the program manager’s, and a change request that would move either is not a change request — it is a gate matter, which is precisely the reasoning that deferred CR-006.</w:t>
      </w:r>
    </w:p>
    <w:p>
      <w:pPr>
        <w:spacing w:before="200"/>
      </w:pPr>
      <w:r>
        <w:rPr>
          <w:b/>
          <w:color w:val="2B5F8E"/>
          <w:sz w:val="23"/>
        </w:rPr>
        <w:t>Declined does not mean closed</w:t>
      </w:r>
    </w:p>
    <w:p>
      <w:r>
        <w:t>A declined request leaves a problem behind, and the failure mode of most change registers is that the problem disappears with the request. Both declines here are explicitly kept open:</w:t>
      </w:r>
    </w:p>
    <w:p>
      <w:pPr>
        <w:pStyle w:val="ListBullet"/>
      </w:pPr>
      <w:r>
        <w:t>CR-005 was declined on pricing discipline, but the uncommitted premium it was offered to solve remains referred to I-06 and R-07. The board directed that the two-year point-to-point alternative be assessed by pricing and brought to Gate 2 — so the underlying question is scheduled, not dismissed.</w:t>
      </w:r>
    </w:p>
    <w:p>
      <w:pPr>
        <w:pStyle w:val="ListBullet"/>
      </w:pPr>
      <w:r>
        <w:t>CR-007 was declined because external counsel would not move a date controlled by another institution’s credit committee. GC-05 therefore stays at risk into Gate 2, and a fallback third counterparty is to be assessed before then. The decline made the risk more visible, not less.</w:t>
      </w:r>
    </w:p>
    <w:p>
      <w:r>
        <w:t>A request may be re-raised once the fact pattern behind it changes — not simply because the requestor still wants it. Both declines above name the specific evidence that would justify a re-raise, which is what stops a register from turning into a record of who asked most persistently. ⚠ This is also why the deferral of CR-006 is recorded as a deferral rather than a decline: the board found nothing wrong with it, and mislabeling that would misrepresent both the request and the board.</w:t>
      </w:r>
    </w:p>
    <w:p>
      <w:pPr>
        <w:spacing w:before="320"/>
      </w:pPr>
      <w:r>
        <w:rPr>
          <w:b/>
          <w:color w:val="12304A"/>
          <w:sz w:val="28"/>
        </w:rPr>
        <w:t>8. How to use this log</w:t>
      </w:r>
    </w:p>
    <w:p>
      <w:pPr>
        <w:pStyle w:val="ListBullet"/>
      </w:pPr>
      <w:r>
        <w:t>Read the decision column first. The two declines and the deferral carry more information about how this board operates than the five approvals do.</w:t>
      </w:r>
    </w:p>
    <w:p>
      <w:pPr>
        <w:pStyle w:val="ListBullet"/>
      </w:pPr>
      <w:r>
        <w:t>Open the full form for anything that matters. Each entry in the detail records what happens if the request is approved and what happens if it is not — which is the do-nothing option made concrete rather than left implied.</w:t>
      </w:r>
    </w:p>
    <w:p>
      <w:pPr>
        <w:pStyle w:val="ListBullet"/>
      </w:pPr>
      <w:r>
        <w:t>Check the alternatives. A request with no alternatives considered is a request that was never really assessed. Every entry here lists at least three.</w:t>
      </w:r>
    </w:p>
    <w:p>
      <w:pPr>
        <w:pStyle w:val="ListBullet"/>
      </w:pPr>
      <w:r>
        <w:t>Follow the cross-references. Requests tie to gate conditions, RAIDD entries and the budget. A change register that does not reconcile to the risk log and the money is a document rather than a control.</w:t>
      </w:r>
    </w:p>
    <w:p>
      <w:pPr>
        <w:spacing w:before="320"/>
      </w:pPr>
      <w:r>
        <w:rPr>
          <w:b/>
          <w:color w:val="12304A"/>
          <w:sz w:val="28"/>
        </w:rPr>
        <w:t>9. Document control</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Version</w:t>
            </w:r>
          </w:p>
        </w:tc>
        <w:tc>
          <w:tcPr>
            <w:tcW w:type="dxa" w:w="3216"/>
          </w:tcPr>
          <w:p>
            <w:r>
              <w:rPr>
                <w:b/>
                <w:sz w:val="17"/>
              </w:rPr>
              <w:t>Date</w:t>
            </w:r>
          </w:p>
        </w:tc>
        <w:tc>
          <w:tcPr>
            <w:tcW w:type="dxa" w:w="3216"/>
          </w:tcPr>
          <w:p>
            <w:r>
              <w:rPr>
                <w:b/>
                <w:sz w:val="17"/>
              </w:rPr>
              <w:t>Change</w:t>
            </w:r>
          </w:p>
        </w:tc>
      </w:tr>
      <w:tr>
        <w:tc>
          <w:tcPr>
            <w:tcW w:type="dxa" w:w="3216"/>
          </w:tcPr>
          <w:p>
            <w:r>
              <w:rPr>
                <w:sz w:val="17"/>
              </w:rPr>
              <w:t>1.0</w:t>
            </w:r>
          </w:p>
        </w:tc>
        <w:tc>
          <w:tcPr>
            <w:tcW w:type="dxa" w:w="3216"/>
          </w:tcPr>
          <w:p>
            <w:r>
              <w:rPr>
                <w:sz w:val="17"/>
              </w:rPr>
              <w:t>May 8, 2026</w:t>
            </w:r>
          </w:p>
        </w:tc>
        <w:tc>
          <w:tcPr>
            <w:tcW w:type="dxa" w:w="3216"/>
          </w:tcPr>
          <w:p>
            <w:r>
              <w:rPr>
                <w:sz w:val="17"/>
              </w:rPr>
              <w:t>Log opened at the Gate 1 recycle with CR-004.</w:t>
            </w:r>
          </w:p>
        </w:tc>
      </w:tr>
      <w:tr>
        <w:tc>
          <w:tcPr>
            <w:tcW w:type="dxa" w:w="3216"/>
          </w:tcPr>
          <w:p>
            <w:r>
              <w:rPr>
                <w:sz w:val="17"/>
              </w:rPr>
              <w:t>1.1</w:t>
            </w:r>
          </w:p>
        </w:tc>
        <w:tc>
          <w:tcPr>
            <w:tcW w:type="dxa" w:w="3216"/>
          </w:tcPr>
          <w:p>
            <w:r>
              <w:rPr>
                <w:sz w:val="17"/>
              </w:rPr>
              <w:t>Jul 2, 2026</w:t>
            </w:r>
          </w:p>
        </w:tc>
        <w:tc>
          <w:tcPr>
            <w:tcW w:type="dxa" w:w="3216"/>
          </w:tcPr>
          <w:p>
            <w:r>
              <w:rPr>
                <w:sz w:val="17"/>
              </w:rPr>
              <w:t>CR-001 and CR-002 recorded against gate conditions GC-01 and GC-02.</w:t>
            </w:r>
          </w:p>
        </w:tc>
      </w:tr>
      <w:tr>
        <w:tc>
          <w:tcPr>
            <w:tcW w:type="dxa" w:w="3216"/>
          </w:tcPr>
          <w:p>
            <w:r>
              <w:rPr>
                <w:sz w:val="17"/>
              </w:rPr>
              <w:t>1.2</w:t>
            </w:r>
          </w:p>
        </w:tc>
        <w:tc>
          <w:tcPr>
            <w:tcW w:type="dxa" w:w="3216"/>
          </w:tcPr>
          <w:p>
            <w:r>
              <w:rPr>
                <w:sz w:val="17"/>
              </w:rPr>
              <w:t>Jul 16, 2026</w:t>
            </w:r>
          </w:p>
        </w:tc>
        <w:tc>
          <w:tcPr>
            <w:tcW w:type="dxa" w:w="3216"/>
          </w:tcPr>
          <w:p>
            <w:r>
              <w:rPr>
                <w:sz w:val="17"/>
              </w:rPr>
              <w:t>CR-003 approved; second contingency draw released.</w:t>
            </w:r>
          </w:p>
        </w:tc>
      </w:tr>
      <w:tr>
        <w:tc>
          <w:tcPr>
            <w:tcW w:type="dxa" w:w="3216"/>
          </w:tcPr>
          <w:p>
            <w:r>
              <w:rPr>
                <w:sz w:val="17"/>
              </w:rPr>
              <w:t>1.3</w:t>
            </w:r>
          </w:p>
        </w:tc>
        <w:tc>
          <w:tcPr>
            <w:tcW w:type="dxa" w:w="3216"/>
          </w:tcPr>
          <w:p>
            <w:r>
              <w:rPr>
                <w:sz w:val="17"/>
              </w:rPr>
              <w:t>Sep 10, 2026</w:t>
            </w:r>
          </w:p>
        </w:tc>
        <w:tc>
          <w:tcPr>
            <w:tcW w:type="dxa" w:w="3216"/>
          </w:tcPr>
          <w:p>
            <w:r>
              <w:rPr>
                <w:sz w:val="17"/>
              </w:rPr>
              <w:t>CR-005 declined. First declined request on the program.</w:t>
            </w:r>
          </w:p>
        </w:tc>
      </w:tr>
      <w:tr>
        <w:tc>
          <w:tcPr>
            <w:tcW w:type="dxa" w:w="3216"/>
          </w:tcPr>
          <w:p>
            <w:r>
              <w:rPr>
                <w:sz w:val="17"/>
              </w:rPr>
              <w:t>1.4</w:t>
            </w:r>
          </w:p>
        </w:tc>
        <w:tc>
          <w:tcPr>
            <w:tcW w:type="dxa" w:w="3216"/>
          </w:tcPr>
          <w:p>
            <w:r>
              <w:rPr>
                <w:sz w:val="17"/>
              </w:rPr>
              <w:t>Oct 16, 2026</w:t>
            </w:r>
          </w:p>
        </w:tc>
        <w:tc>
          <w:tcPr>
            <w:tcW w:type="dxa" w:w="3216"/>
          </w:tcPr>
          <w:p>
            <w:r>
              <w:rPr>
                <w:sz w:val="17"/>
              </w:rPr>
              <w:t>CR-006 deferred to Gate 2; CR-007 declined; CR-008 approved with modification.</w:t>
            </w:r>
          </w:p>
        </w:tc>
      </w:tr>
    </w:tbl>
    <w:p/>
    <w:p>
      <w:r>
        <w:t>Maintained by C. Tyrrell, NPD Program Manager and Chair of the Gate Review Board. Related: Change Request Detail · Gate Conditions Register · Stage-Gate Governance Model · RAIDD Log · Program Budget.</w:t>
      </w:r>
    </w:p>
    <w:sectPr w:rsidR="00FC693F" w:rsidRPr="0006063C" w:rsidSect="00034616">
      <w:pgSz w:w="12240" w:h="15840"/>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