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Distribution &amp; Advisor Enablement Plan — Version 1.1</w:t>
      </w:r>
    </w:p>
    <w:p>
      <w:r>
        <w:rPr>
          <w:color w:val="1E5945"/>
          <w:sz w:val="18"/>
        </w:rPr>
        <w:t>Distribution &amp; Channel Readiness</w:t>
      </w:r>
    </w:p>
    <w:p/>
    <w:p>
      <w:pPr>
        <w:spacing w:after="120"/>
      </w:pPr>
      <w:r>
        <w:rPr>
          <w:b/>
          <w:i w:val="0"/>
          <w:sz w:val="20"/>
        </w:rPr>
        <w:t>Lighthouse Financial Services Company</w:t>
      </w:r>
      <w:r>
        <w:rPr>
          <w:b w:val="0"/>
          <w:i w:val="0"/>
          <w:sz w:val="20"/>
        </w:rPr>
        <w:t xml:space="preserve"> — This plan governs how the </w:t>
      </w:r>
      <w:r>
        <w:rPr>
          <w:b/>
          <w:i w:val="0"/>
          <w:sz w:val="20"/>
        </w:rPr>
        <w:t>Beacon Index Advantage</w:t>
      </w:r>
      <w:r>
        <w:rPr>
          <w:b w:val="0"/>
          <w:i w:val="0"/>
          <w:sz w:val="20"/>
        </w:rPr>
        <w:t xml:space="preserve"> reaches the advisors who will sell it. It has two halves, and they behave differently. </w:t>
      </w:r>
      <w:r>
        <w:rPr>
          <w:b/>
          <w:i w:val="0"/>
          <w:sz w:val="20"/>
        </w:rPr>
        <w:t>Distribution</w:t>
      </w:r>
      <w:r>
        <w:rPr>
          <w:b w:val="0"/>
          <w:i w:val="0"/>
          <w:sz w:val="20"/>
        </w:rPr>
        <w:t xml:space="preserve"> is a question about other people's behavior: independent marketing organizations and broker-dealers who do not work for this company have indicated they will produce $168,000,000 of premium in Year One, and the program has no mechanism to make them. </w:t>
      </w:r>
      <w:r>
        <w:rPr>
          <w:b/>
          <w:i w:val="0"/>
          <w:sz w:val="20"/>
        </w:rPr>
        <w:t>Advisor enablement</w:t>
      </w:r>
      <w:r>
        <w:rPr>
          <w:b w:val="0"/>
          <w:i w:val="0"/>
          <w:sz w:val="20"/>
        </w:rPr>
        <w:t xml:space="preserve"> is a question about this company's own throughput: appointing, contracting, training and certifying enough producers that the indicated volume can physically be written. The first half cannot be solved with effort. The second half can, and this plan is mostly about not confusing them.</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Status at the date of this version.</w:t>
            </w:r>
            <w:r>
              <w:rPr>
                <w:b w:val="0"/>
                <w:i w:val="0"/>
                <w:sz w:val="20"/>
              </w:rPr>
              <w:t xml:space="preserve"> Program is in </w:t>
            </w:r>
            <w:r>
              <w:rPr>
                <w:b/>
                <w:i w:val="0"/>
                <w:sz w:val="20"/>
              </w:rPr>
              <w:t>Stage 2 — Development</w:t>
            </w:r>
            <w:r>
              <w:rPr>
                <w:b w:val="0"/>
                <w:i w:val="0"/>
                <w:sz w:val="20"/>
              </w:rPr>
              <w:t xml:space="preserve">, week 17 of 40. Written Year One commitments stand at </w:t>
            </w:r>
            <w:r>
              <w:rPr>
                <w:b/>
                <w:i w:val="0"/>
                <w:sz w:val="20"/>
              </w:rPr>
              <w:t>$168,000,000</w:t>
            </w:r>
            <w:r>
              <w:rPr>
                <w:b w:val="0"/>
                <w:i w:val="0"/>
                <w:sz w:val="20"/>
              </w:rPr>
              <w:t xml:space="preserve"> against a Year One target of </w:t>
            </w:r>
            <w:r>
              <w:rPr>
                <w:b/>
                <w:i w:val="0"/>
                <w:sz w:val="20"/>
              </w:rPr>
              <w:t>$185,000,000</w:t>
            </w:r>
            <w:r>
              <w:rPr>
                <w:b w:val="0"/>
                <w:i w:val="0"/>
                <w:sz w:val="20"/>
              </w:rPr>
              <w:t xml:space="preserve"> — </w:t>
            </w:r>
            <w:r>
              <w:rPr>
                <w:b/>
                <w:i w:val="0"/>
                <w:sz w:val="20"/>
              </w:rPr>
              <w:t>91%</w:t>
            </w:r>
            <w:r>
              <w:rPr>
                <w:b w:val="0"/>
                <w:i w:val="0"/>
                <w:sz w:val="20"/>
              </w:rPr>
              <w:t xml:space="preserve"> committed, leaving </w:t>
            </w:r>
            <w:r>
              <w:rPr>
                <w:b/>
                <w:i w:val="0"/>
                <w:sz w:val="20"/>
              </w:rPr>
              <w:t>$17,000,000</w:t>
            </w:r>
            <w:r>
              <w:rPr>
                <w:b w:val="0"/>
                <w:i w:val="0"/>
                <w:sz w:val="20"/>
              </w:rPr>
              <w:t xml:space="preserve"> (9%) uncommitted. Field coverage is </w:t>
            </w:r>
            <w:r>
              <w:rPr>
                <w:b/>
                <w:i w:val="0"/>
                <w:sz w:val="20"/>
              </w:rPr>
              <w:t>4 of 6</w:t>
            </w:r>
            <w:r>
              <w:rPr>
                <w:b w:val="0"/>
                <w:i w:val="0"/>
                <w:sz w:val="20"/>
              </w:rPr>
              <w:t xml:space="preserve"> planned wholesalers (I-06). Gate condition </w:t>
            </w:r>
            <w:r>
              <w:rPr>
                <w:b/>
                <w:i w:val="0"/>
                <w:sz w:val="20"/>
              </w:rPr>
              <w:t>GC-04</w:t>
            </w:r>
            <w:r>
              <w:rPr>
                <w:b w:val="0"/>
                <w:i w:val="0"/>
                <w:sz w:val="20"/>
              </w:rPr>
              <w:t xml:space="preserve"> is closed; the gap it was raised over is not. Status date </w:t>
            </w:r>
            <w:r>
              <w:rPr>
                <w:b/>
                <w:i w:val="0"/>
                <w:sz w:val="20"/>
              </w:rPr>
              <w:t>16 October 2026</w:t>
            </w:r>
            <w:r>
              <w:rPr>
                <w:b w:val="0"/>
                <w:i w:val="0"/>
                <w:sz w:val="20"/>
              </w:rPr>
              <w:t xml:space="preserve">. </w:t>
            </w:r>
          </w:p>
        </w:tc>
      </w:tr>
    </w:tbl>
    <w:p/>
    <w:p>
      <w:pPr>
        <w:spacing w:before="280" w:after="80"/>
      </w:pPr>
      <w:r>
        <w:rPr>
          <w:b/>
          <w:i w:val="0"/>
          <w:color w:val="14352A"/>
          <w:sz w:val="28"/>
        </w:rPr>
        <w:t>Table of Contents</w:t>
      </w:r>
    </w:p>
    <w:p>
      <w:pPr>
        <w:pStyle w:val="ListNumber"/>
        <w:spacing w:after="60"/>
      </w:pPr>
      <w:r>
        <w:rPr>
          <w:b w:val="0"/>
          <w:i w:val="0"/>
          <w:sz w:val="20"/>
        </w:rPr>
        <w:t>Purpose, Scope &amp; the Two Halves of This Plan</w:t>
      </w:r>
    </w:p>
    <w:p>
      <w:pPr>
        <w:pStyle w:val="ListNumber"/>
        <w:spacing w:after="60"/>
      </w:pPr>
      <w:r>
        <w:rPr>
          <w:b w:val="0"/>
          <w:i w:val="0"/>
          <w:sz w:val="20"/>
        </w:rPr>
        <w:t>Channel Architecture &amp; Partner Inventory</w:t>
      </w:r>
    </w:p>
    <w:p>
      <w:pPr>
        <w:pStyle w:val="ListNumber"/>
        <w:spacing w:after="60"/>
      </w:pPr>
      <w:r>
        <w:rPr>
          <w:b w:val="0"/>
          <w:i w:val="0"/>
          <w:sz w:val="20"/>
        </w:rPr>
        <w:t>The Year One Commitment Position — and What It Is Not</w:t>
      </w:r>
    </w:p>
    <w:p>
      <w:pPr>
        <w:pStyle w:val="ListNumber"/>
        <w:spacing w:after="60"/>
      </w:pPr>
      <w:r>
        <w:rPr>
          <w:b w:val="0"/>
          <w:i w:val="0"/>
          <w:sz w:val="20"/>
        </w:rPr>
        <w:t>Field Coverage: Six Wholesalers Planned, Four Committed</w:t>
      </w:r>
    </w:p>
    <w:p>
      <w:pPr>
        <w:pStyle w:val="ListNumber"/>
        <w:spacing w:after="60"/>
      </w:pPr>
      <w:r>
        <w:rPr>
          <w:b w:val="0"/>
          <w:i w:val="0"/>
          <w:sz w:val="20"/>
        </w:rPr>
        <w:t>Producer Appointment, Contracting &amp; Licensing Throughput</w:t>
      </w:r>
    </w:p>
    <w:p>
      <w:pPr>
        <w:pStyle w:val="ListNumber"/>
        <w:spacing w:after="60"/>
      </w:pPr>
      <w:r>
        <w:rPr>
          <w:b w:val="0"/>
          <w:i w:val="0"/>
          <w:sz w:val="20"/>
        </w:rPr>
        <w:t>Product Certification &amp; Suitability — NAIC Model Regulation #275</w:t>
      </w:r>
    </w:p>
    <w:p>
      <w:pPr>
        <w:pStyle w:val="ListNumber"/>
        <w:spacing w:after="60"/>
      </w:pPr>
      <w:r>
        <w:rPr>
          <w:b w:val="0"/>
          <w:i w:val="0"/>
          <w:sz w:val="20"/>
        </w:rPr>
        <w:t>Sales Literature, Illustrations &amp; Compliance Review</w:t>
      </w:r>
    </w:p>
    <w:p>
      <w:pPr>
        <w:pStyle w:val="ListNumber"/>
        <w:spacing w:after="60"/>
      </w:pPr>
      <w:r>
        <w:rPr>
          <w:b w:val="0"/>
          <w:i w:val="0"/>
          <w:sz w:val="20"/>
        </w:rPr>
        <w:t>Launch Marketing &amp; the Enablement Budget</w:t>
      </w:r>
    </w:p>
    <w:p>
      <w:pPr>
        <w:pStyle w:val="ListNumber"/>
        <w:spacing w:after="60"/>
      </w:pPr>
      <w:r>
        <w:rPr>
          <w:b w:val="0"/>
          <w:i w:val="0"/>
          <w:sz w:val="20"/>
        </w:rPr>
        <w:t>Enablement Sequencing Against the Filing Plan</w:t>
      </w:r>
    </w:p>
    <w:p>
      <w:pPr>
        <w:pStyle w:val="ListNumber"/>
        <w:spacing w:after="60"/>
      </w:pPr>
      <w:r>
        <w:rPr>
          <w:b w:val="0"/>
          <w:i w:val="0"/>
          <w:sz w:val="20"/>
        </w:rPr>
        <w:t>Distribution Risks, Issues &amp; Dependencies</w:t>
      </w:r>
    </w:p>
    <w:p>
      <w:pPr>
        <w:pStyle w:val="ListNumber"/>
        <w:spacing w:after="60"/>
      </w:pPr>
      <w:r>
        <w:rPr>
          <w:b w:val="0"/>
          <w:i w:val="0"/>
          <w:sz w:val="20"/>
        </w:rPr>
        <w:t>Measurement — Leading Indicators of a Soft Channel</w:t>
      </w:r>
    </w:p>
    <w:p>
      <w:pPr>
        <w:pStyle w:val="ListNumber"/>
        <w:spacing w:after="60"/>
      </w:pPr>
      <w:r>
        <w:rPr>
          <w:b w:val="0"/>
          <w:i w:val="0"/>
          <w:sz w:val="20"/>
        </w:rPr>
        <w:t>Governance, Ownership &amp; Document Control</w:t>
      </w:r>
    </w:p>
    <w:p>
      <w:pPr>
        <w:spacing w:before="280" w:after="80"/>
      </w:pPr>
      <w:r>
        <w:rPr>
          <w:b/>
          <w:i w:val="0"/>
          <w:color w:val="14352A"/>
          <w:sz w:val="28"/>
        </w:rPr>
        <w:t>1. Purpose, Scope &amp; the Two Halves of This Plan</w:t>
      </w:r>
    </w:p>
    <w:p>
      <w:pPr>
        <w:spacing w:after="120"/>
      </w:pPr>
      <w:r>
        <w:rPr>
          <w:b w:val="0"/>
          <w:i w:val="0"/>
          <w:sz w:val="20"/>
        </w:rPr>
        <w:t>The business case for this product rests on a distribution assumption more than it rests on a pricing assumption. The pricing is validated by actuaries under external peer review (GC-03); the distribution is validated by asking partners what they intend to do. Those are not the same class of evidence, and this plan is written to keep the difference visible.</w:t>
      </w:r>
    </w:p>
    <w:p>
      <w:pPr>
        <w:spacing w:before="200" w:after="80"/>
      </w:pPr>
      <w:r>
        <w:rPr>
          <w:b/>
          <w:i w:val="0"/>
          <w:color w:val="14352A"/>
          <w:sz w:val="24"/>
        </w:rPr>
        <w:t>1.1 What this plan covers</w:t>
      </w:r>
    </w:p>
    <w:p>
      <w:pPr>
        <w:pStyle w:val="ListBullet"/>
        <w:spacing w:after="60"/>
      </w:pPr>
      <w:r>
        <w:rPr>
          <w:b/>
          <w:i w:val="0"/>
          <w:sz w:val="20"/>
        </w:rPr>
        <w:t>Channel architecture</w:t>
      </w:r>
      <w:r>
        <w:rPr>
          <w:b w:val="0"/>
          <w:i w:val="0"/>
          <w:sz w:val="20"/>
        </w:rPr>
        <w:t xml:space="preserve"> — which partners sell the product, under what agreements, and what each has indicated it will produce.</w:t>
      </w:r>
    </w:p>
    <w:p>
      <w:pPr>
        <w:pStyle w:val="ListBullet"/>
        <w:spacing w:after="60"/>
      </w:pPr>
      <w:r>
        <w:rPr>
          <w:b/>
          <w:i w:val="0"/>
          <w:sz w:val="20"/>
        </w:rPr>
        <w:t>Field coverage</w:t>
      </w:r>
      <w:r>
        <w:rPr>
          <w:b w:val="0"/>
          <w:i w:val="0"/>
          <w:sz w:val="20"/>
        </w:rPr>
        <w:t xml:space="preserve"> — the wholesaler model that services those partners, and the shortfall against plan.</w:t>
      </w:r>
    </w:p>
    <w:p>
      <w:pPr>
        <w:pStyle w:val="ListBullet"/>
        <w:spacing w:after="60"/>
      </w:pPr>
      <w:r>
        <w:rPr>
          <w:b/>
          <w:i w:val="0"/>
          <w:sz w:val="20"/>
        </w:rPr>
        <w:t>Producer readiness</w:t>
      </w:r>
      <w:r>
        <w:rPr>
          <w:b w:val="0"/>
          <w:i w:val="0"/>
          <w:sz w:val="20"/>
        </w:rPr>
        <w:t xml:space="preserve"> — appointment, contracting, licensing, product certification and suitability training for the advisors who write business.</w:t>
      </w:r>
    </w:p>
    <w:p>
      <w:pPr>
        <w:pStyle w:val="ListBullet"/>
        <w:spacing w:after="60"/>
      </w:pPr>
      <w:r>
        <w:rPr>
          <w:b/>
          <w:i w:val="0"/>
          <w:sz w:val="20"/>
        </w:rPr>
        <w:t>Enablement materials</w:t>
      </w:r>
      <w:r>
        <w:rPr>
          <w:b w:val="0"/>
          <w:i w:val="0"/>
          <w:sz w:val="20"/>
        </w:rPr>
        <w:t xml:space="preserve"> — sales literature, illustrations, training curriculum and the compliance review each must pass.</w:t>
      </w:r>
    </w:p>
    <w:p>
      <w:pPr>
        <w:pStyle w:val="ListBullet"/>
        <w:spacing w:after="60"/>
      </w:pPr>
      <w:r>
        <w:rPr>
          <w:b/>
          <w:i w:val="0"/>
          <w:sz w:val="20"/>
        </w:rPr>
        <w:t>Launch marketing</w:t>
      </w:r>
      <w:r>
        <w:rPr>
          <w:b w:val="0"/>
          <w:i w:val="0"/>
          <w:sz w:val="20"/>
        </w:rPr>
        <w:t xml:space="preserve"> — the $1,540,000 enablement and marketing line and how it is allocated.</w:t>
      </w:r>
    </w:p>
    <w:p>
      <w:pPr>
        <w:spacing w:before="200" w:after="80"/>
      </w:pPr>
      <w:r>
        <w:rPr>
          <w:b/>
          <w:i w:val="0"/>
          <w:color w:val="14352A"/>
          <w:sz w:val="24"/>
        </w:rPr>
        <w:t>1.2 What this plan does not cover</w:t>
      </w:r>
    </w:p>
    <w:p>
      <w:pPr>
        <w:pStyle w:val="ListBullet"/>
        <w:spacing w:after="60"/>
      </w:pPr>
      <w:r>
        <w:rPr>
          <w:b/>
          <w:i w:val="0"/>
          <w:sz w:val="20"/>
        </w:rPr>
        <w:t>Product design and crediting mechanics</w:t>
      </w:r>
      <w:r>
        <w:rPr>
          <w:b w:val="0"/>
          <w:i w:val="0"/>
          <w:sz w:val="20"/>
        </w:rPr>
        <w:t xml:space="preserve"> — the Product Requirements Document owns these; this plan consumes them.</w:t>
      </w:r>
    </w:p>
    <w:p>
      <w:pPr>
        <w:pStyle w:val="ListBullet"/>
        <w:spacing w:after="60"/>
      </w:pPr>
      <w:r>
        <w:rPr>
          <w:b/>
          <w:i w:val="0"/>
          <w:sz w:val="20"/>
        </w:rPr>
        <w:t>Regulatory filing strategy</w:t>
      </w:r>
      <w:r>
        <w:rPr>
          <w:b w:val="0"/>
          <w:i w:val="0"/>
          <w:sz w:val="20"/>
        </w:rPr>
        <w:t xml:space="preserve"> — the Regulatory Filing Plan owns the filing route and sequence. Enablement is downstream of it (Section 9) and does not set it.</w:t>
      </w:r>
    </w:p>
    <w:p>
      <w:pPr>
        <w:pStyle w:val="ListBullet"/>
        <w:spacing w:after="60"/>
      </w:pPr>
      <w:r>
        <w:rPr>
          <w:b/>
          <w:i w:val="0"/>
          <w:sz w:val="20"/>
        </w:rPr>
        <w:t>Post-launch sales management</w:t>
      </w:r>
      <w:r>
        <w:rPr>
          <w:b w:val="0"/>
          <w:i w:val="0"/>
          <w:sz w:val="20"/>
        </w:rPr>
        <w:t xml:space="preserve"> — production management after </w:t>
      </w:r>
      <w:r>
        <w:rPr>
          <w:b/>
          <w:i w:val="0"/>
          <w:sz w:val="20"/>
        </w:rPr>
        <w:t>06 March 2028</w:t>
      </w:r>
      <w:r>
        <w:rPr>
          <w:b w:val="0"/>
          <w:i w:val="0"/>
          <w:sz w:val="20"/>
        </w:rPr>
        <w:t xml:space="preserve"> belongs to Distribution as a line function, not to the program. Gate 5 reviews the outcome; this plan gets the channel to the starting line.</w:t>
      </w:r>
    </w:p>
    <w:p>
      <w:pPr>
        <w:spacing w:before="200" w:after="80"/>
      </w:pPr>
      <w:r>
        <w:rPr>
          <w:b/>
          <w:i w:val="0"/>
          <w:color w:val="14352A"/>
          <w:sz w:val="24"/>
        </w:rPr>
        <w:t>1.3 The organizing distinction</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Appointment is carrier-level. Certification is product-level.</w:t>
            </w:r>
            <w:r>
              <w:rPr>
                <w:b w:val="0"/>
                <w:i w:val="0"/>
                <w:sz w:val="20"/>
              </w:rPr>
              <w:t xml:space="preserve"> A producer is appointed to Lighthouse Financial Services Company as a carrier, and that can be done long before any Beacon Index Advantage form is approved anywhere. Product-specific certification — training on this product's crediting strategies, its rider, its surrender schedule, and the suitability analysis specific to it — cannot begin until the forms are approved in that producer's state. </w:t>
            </w:r>
            <w:r>
              <w:rPr>
                <w:b/>
                <w:i w:val="0"/>
                <w:sz w:val="20"/>
              </w:rPr>
              <w:t>One half of enablement is schedule-free; the other inherits every day of the filing plan's slippage.</w:t>
            </w:r>
            <w:r>
              <w:rPr>
                <w:b w:val="0"/>
                <w:i w:val="0"/>
                <w:sz w:val="20"/>
              </w:rPr>
              <w:t xml:space="preserve"> Treating them as one workstream is how programs discover in the final month that they have thousands of appointed producers and nobody certified to sell. </w:t>
            </w:r>
          </w:p>
        </w:tc>
      </w:tr>
    </w:tbl>
    <w:p/>
    <w:p>
      <w:pPr>
        <w:spacing w:before="280" w:after="80"/>
      </w:pPr>
      <w:r>
        <w:rPr>
          <w:b/>
          <w:i w:val="0"/>
          <w:color w:val="14352A"/>
          <w:sz w:val="28"/>
        </w:rPr>
        <w:t>2. Channel Architecture &amp; Partner Inventory</w:t>
      </w:r>
    </w:p>
    <w:p>
      <w:pPr>
        <w:spacing w:after="120"/>
      </w:pPr>
      <w:r>
        <w:rPr>
          <w:b w:val="0"/>
          <w:i w:val="0"/>
          <w:sz w:val="20"/>
        </w:rPr>
        <w:t xml:space="preserve">Assumption </w:t>
      </w:r>
      <w:r>
        <w:rPr>
          <w:b/>
          <w:i w:val="0"/>
          <w:sz w:val="20"/>
        </w:rPr>
        <w:t>A-05</w:t>
      </w:r>
      <w:r>
        <w:rPr>
          <w:b w:val="0"/>
          <w:i w:val="0"/>
          <w:sz w:val="20"/>
        </w:rPr>
        <w:t xml:space="preserve"> fixes the architecture: the product is distributed through Lighthouse Financial Services Company's existing independent marketing organization and broker-dealer relationships. No new channel is built, no direct-to-consumer capability is stood up, and no new distribution agreement type is created. This was a deliberate constraint at Gate 0 — a new channel would have added its own build, its own risk and its own capital, and the concept was screened on the basis that it would not.</w:t>
      </w:r>
    </w:p>
    <w:p>
      <w:pPr>
        <w:spacing w:after="120"/>
      </w:pPr>
      <w:r>
        <w:rPr>
          <w:b w:val="0"/>
          <w:i w:val="0"/>
          <w:sz w:val="20"/>
        </w:rPr>
        <w:t>Because the product is a fixed indexed annuity and not a registered index-linked annuity (</w:t>
      </w:r>
      <w:r>
        <w:rPr>
          <w:b/>
          <w:i w:val="0"/>
          <w:sz w:val="20"/>
        </w:rPr>
        <w:t>D-01</w:t>
      </w:r>
      <w:r>
        <w:rPr>
          <w:b w:val="0"/>
          <w:i w:val="0"/>
          <w:sz w:val="20"/>
        </w:rPr>
        <w:t xml:space="preserve">), it is sold by </w:t>
      </w:r>
      <w:r>
        <w:rPr>
          <w:b/>
          <w:i w:val="0"/>
          <w:sz w:val="20"/>
        </w:rPr>
        <w:t>insurance-licensed producers under carrier appointment</w:t>
      </w:r>
      <w:r>
        <w:rPr>
          <w:b w:val="0"/>
          <w:i w:val="0"/>
          <w:sz w:val="20"/>
        </w:rPr>
        <w:t>, not by registered representatives under a selling agreement with a registered broker-dealer distributor. That single decision determines the whole enablement model: the gating credential is a state insurance license plus appointment, and the gating training obligation is state annuity training plus product-specific training, not a securities registration.</w:t>
      </w:r>
    </w:p>
    <w:p>
      <w:pPr>
        <w:spacing w:before="200" w:after="80"/>
      </w:pPr>
      <w:r>
        <w:rPr>
          <w:b/>
          <w:i w:val="0"/>
          <w:color w:val="14352A"/>
          <w:sz w:val="24"/>
        </w:rPr>
        <w:t>2.1 Partner tiers and indicated Year One volume</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Tier</w:t>
            </w:r>
          </w:p>
        </w:tc>
        <w:tc>
          <w:tcPr>
            <w:tcW w:type="dxa" w:w="2412"/>
            <w:shd w:val="clear" w:fill="14352A"/>
          </w:tcPr>
          <w:p>
            <w:pPr>
              <w:spacing w:before="40" w:after="40"/>
            </w:pPr>
            <w:r>
              <w:rPr>
                <w:b/>
                <w:i w:val="0"/>
                <w:color w:val="FFFFFF"/>
                <w:sz w:val="17"/>
              </w:rPr>
              <w:t>Firms</w:t>
            </w:r>
          </w:p>
        </w:tc>
        <w:tc>
          <w:tcPr>
            <w:tcW w:type="dxa" w:w="2412"/>
            <w:shd w:val="clear" w:fill="14352A"/>
          </w:tcPr>
          <w:p>
            <w:pPr>
              <w:spacing w:before="40" w:after="40"/>
            </w:pPr>
            <w:r>
              <w:rPr>
                <w:b/>
                <w:i w:val="0"/>
                <w:color w:val="FFFFFF"/>
                <w:sz w:val="17"/>
              </w:rPr>
              <w:t>Indicated Year 1 premium</w:t>
            </w:r>
          </w:p>
        </w:tc>
        <w:tc>
          <w:tcPr>
            <w:tcW w:type="dxa" w:w="2412"/>
            <w:shd w:val="clear" w:fill="14352A"/>
          </w:tcPr>
          <w:p>
            <w:pPr>
              <w:spacing w:before="40" w:after="40"/>
            </w:pPr>
            <w:r>
              <w:rPr>
                <w:b/>
                <w:i w:val="0"/>
                <w:color w:val="FFFFFF"/>
                <w:sz w:val="17"/>
              </w:rPr>
              <w:t>Share</w:t>
            </w:r>
          </w:p>
        </w:tc>
      </w:tr>
      <w:tr>
        <w:tc>
          <w:tcPr>
            <w:tcW w:type="dxa" w:w="2412"/>
          </w:tcPr>
          <w:p>
            <w:pPr>
              <w:spacing w:before="40" w:after="40"/>
            </w:pPr>
            <w:r>
              <w:rPr>
                <w:b/>
                <w:i w:val="0"/>
                <w:sz w:val="17"/>
              </w:rPr>
              <w:t>Tier 1</w:t>
            </w:r>
            <w:r>
              <w:rPr>
                <w:sz w:val="17"/>
              </w:rPr>
              <w:br/>
            </w:r>
            <w:r>
              <w:rPr>
                <w:b w:val="0"/>
                <w:i w:val="0"/>
                <w:sz w:val="17"/>
              </w:rPr>
              <w:t>three national IMOs (the GC-04 re-validation set)</w:t>
            </w:r>
          </w:p>
        </w:tc>
        <w:tc>
          <w:tcPr>
            <w:tcW w:type="dxa" w:w="2412"/>
          </w:tcPr>
          <w:p>
            <w:pPr>
              <w:spacing w:before="40" w:after="40"/>
            </w:pPr>
            <w:r>
              <w:rPr>
                <w:b w:val="0"/>
                <w:i w:val="0"/>
                <w:sz w:val="17"/>
              </w:rPr>
              <w:t>3</w:t>
            </w:r>
          </w:p>
        </w:tc>
        <w:tc>
          <w:tcPr>
            <w:tcW w:type="dxa" w:w="2412"/>
          </w:tcPr>
          <w:p>
            <w:pPr>
              <w:spacing w:before="40" w:after="40"/>
            </w:pPr>
            <w:r>
              <w:rPr>
                <w:b w:val="0"/>
                <w:i w:val="0"/>
                <w:sz w:val="17"/>
              </w:rPr>
              <w:t>$121,000,000</w:t>
            </w:r>
          </w:p>
        </w:tc>
        <w:tc>
          <w:tcPr>
            <w:tcW w:type="dxa" w:w="2412"/>
          </w:tcPr>
          <w:p>
            <w:pPr>
              <w:spacing w:before="40" w:after="40"/>
            </w:pPr>
            <w:r>
              <w:rPr>
                <w:b w:val="0"/>
                <w:i w:val="0"/>
                <w:sz w:val="17"/>
              </w:rPr>
              <w:t>72%</w:t>
            </w:r>
          </w:p>
        </w:tc>
      </w:tr>
      <w:tr>
        <w:tc>
          <w:tcPr>
            <w:tcW w:type="dxa" w:w="2412"/>
          </w:tcPr>
          <w:p>
            <w:pPr>
              <w:spacing w:before="40" w:after="40"/>
            </w:pPr>
            <w:r>
              <w:rPr>
                <w:b/>
                <w:i w:val="0"/>
                <w:sz w:val="17"/>
              </w:rPr>
              <w:t>Tier 2</w:t>
            </w:r>
            <w:r>
              <w:rPr>
                <w:sz w:val="17"/>
              </w:rPr>
              <w:br/>
            </w:r>
            <w:r>
              <w:rPr>
                <w:b w:val="0"/>
                <w:i w:val="0"/>
                <w:sz w:val="17"/>
              </w:rPr>
              <w:t>four regional IMOs under existing selling agreements</w:t>
            </w:r>
          </w:p>
        </w:tc>
        <w:tc>
          <w:tcPr>
            <w:tcW w:type="dxa" w:w="2412"/>
          </w:tcPr>
          <w:p>
            <w:pPr>
              <w:spacing w:before="40" w:after="40"/>
            </w:pPr>
            <w:r>
              <w:rPr>
                <w:b w:val="0"/>
                <w:i w:val="0"/>
                <w:sz w:val="17"/>
              </w:rPr>
              <w:t>4</w:t>
            </w:r>
          </w:p>
        </w:tc>
        <w:tc>
          <w:tcPr>
            <w:tcW w:type="dxa" w:w="2412"/>
          </w:tcPr>
          <w:p>
            <w:pPr>
              <w:spacing w:before="40" w:after="40"/>
            </w:pPr>
            <w:r>
              <w:rPr>
                <w:b w:val="0"/>
                <w:i w:val="0"/>
                <w:sz w:val="17"/>
              </w:rPr>
              <w:t>$34,000,000</w:t>
            </w:r>
          </w:p>
        </w:tc>
        <w:tc>
          <w:tcPr>
            <w:tcW w:type="dxa" w:w="2412"/>
          </w:tcPr>
          <w:p>
            <w:pPr>
              <w:spacing w:before="40" w:after="40"/>
            </w:pPr>
            <w:r>
              <w:rPr>
                <w:b w:val="0"/>
                <w:i w:val="0"/>
                <w:sz w:val="17"/>
              </w:rPr>
              <w:t>20%</w:t>
            </w:r>
          </w:p>
        </w:tc>
      </w:tr>
      <w:tr>
        <w:tc>
          <w:tcPr>
            <w:tcW w:type="dxa" w:w="2412"/>
          </w:tcPr>
          <w:p>
            <w:pPr>
              <w:spacing w:before="40" w:after="40"/>
            </w:pPr>
            <w:r>
              <w:rPr>
                <w:b/>
                <w:i w:val="0"/>
                <w:sz w:val="17"/>
              </w:rPr>
              <w:t>Tier 3</w:t>
            </w:r>
            <w:r>
              <w:rPr>
                <w:sz w:val="17"/>
              </w:rPr>
              <w:br/>
            </w:r>
            <w:r>
              <w:rPr>
                <w:b w:val="0"/>
                <w:i w:val="0"/>
                <w:sz w:val="17"/>
              </w:rPr>
              <w:t>broker-dealer and bank channel, existing agreements</w:t>
            </w:r>
          </w:p>
        </w:tc>
        <w:tc>
          <w:tcPr>
            <w:tcW w:type="dxa" w:w="2412"/>
          </w:tcPr>
          <w:p>
            <w:pPr>
              <w:spacing w:before="40" w:after="40"/>
            </w:pPr>
            <w:r>
              <w:rPr>
                <w:b w:val="0"/>
                <w:i w:val="0"/>
                <w:sz w:val="17"/>
              </w:rPr>
              <w:t>5</w:t>
            </w:r>
          </w:p>
        </w:tc>
        <w:tc>
          <w:tcPr>
            <w:tcW w:type="dxa" w:w="2412"/>
          </w:tcPr>
          <w:p>
            <w:pPr>
              <w:spacing w:before="40" w:after="40"/>
            </w:pPr>
            <w:r>
              <w:rPr>
                <w:b w:val="0"/>
                <w:i w:val="0"/>
                <w:sz w:val="17"/>
              </w:rPr>
              <w:t>$13,000,000</w:t>
            </w:r>
          </w:p>
        </w:tc>
        <w:tc>
          <w:tcPr>
            <w:tcW w:type="dxa" w:w="2412"/>
          </w:tcPr>
          <w:p>
            <w:pPr>
              <w:spacing w:before="40" w:after="40"/>
            </w:pPr>
            <w:r>
              <w:rPr>
                <w:b w:val="0"/>
                <w:i w:val="0"/>
                <w:sz w:val="17"/>
              </w:rPr>
              <w:t>8%</w:t>
            </w:r>
          </w:p>
        </w:tc>
      </w:tr>
      <w:tr>
        <w:tc>
          <w:tcPr>
            <w:tcW w:type="dxa" w:w="2412"/>
          </w:tcPr>
          <w:p>
            <w:pPr>
              <w:spacing w:before="40" w:after="40"/>
            </w:pPr>
            <w:r>
              <w:rPr>
                <w:b/>
                <w:i w:val="0"/>
                <w:sz w:val="17"/>
              </w:rPr>
              <w:t>Total written commitment</w:t>
            </w:r>
          </w:p>
        </w:tc>
        <w:tc>
          <w:tcPr>
            <w:tcW w:type="dxa" w:w="2412"/>
          </w:tcPr>
          <w:p>
            <w:pPr>
              <w:spacing w:before="40" w:after="40"/>
            </w:pPr>
            <w:r>
              <w:rPr>
                <w:b/>
                <w:i w:val="0"/>
                <w:sz w:val="17"/>
              </w:rPr>
              <w:t>12</w:t>
            </w:r>
          </w:p>
        </w:tc>
        <w:tc>
          <w:tcPr>
            <w:tcW w:type="dxa" w:w="2412"/>
          </w:tcPr>
          <w:p>
            <w:pPr>
              <w:spacing w:before="40" w:after="40"/>
            </w:pPr>
            <w:r>
              <w:rPr>
                <w:b/>
                <w:i w:val="0"/>
                <w:sz w:val="17"/>
              </w:rPr>
              <w:t>$168,000,000</w:t>
            </w:r>
          </w:p>
        </w:tc>
        <w:tc>
          <w:tcPr>
            <w:tcW w:type="dxa" w:w="2412"/>
          </w:tcPr>
          <w:p>
            <w:pPr>
              <w:spacing w:before="40" w:after="40"/>
            </w:pPr>
            <w:r>
              <w:rPr>
                <w:b/>
                <w:i w:val="0"/>
                <w:sz w:val="17"/>
              </w:rPr>
              <w:t>100%</w:t>
            </w:r>
          </w:p>
        </w:tc>
      </w:tr>
      <w:tr>
        <w:tc>
          <w:tcPr>
            <w:tcW w:type="dxa" w:w="2412"/>
          </w:tcPr>
          <w:p>
            <w:pPr>
              <w:spacing w:before="40" w:after="40"/>
            </w:pPr>
            <w:r>
              <w:rPr>
                <w:b/>
                <w:i w:val="0"/>
                <w:sz w:val="17"/>
              </w:rPr>
              <w:t>Uncommitted residual to plan</w:t>
            </w:r>
          </w:p>
        </w:tc>
        <w:tc>
          <w:tcPr>
            <w:tcW w:type="dxa" w:w="2412"/>
          </w:tcPr>
          <w:p>
            <w:pPr>
              <w:spacing w:before="40" w:after="40"/>
            </w:pPr>
            <w:r>
              <w:rPr>
                <w:b w:val="0"/>
                <w:i w:val="0"/>
                <w:sz w:val="17"/>
              </w:rPr>
              <w:t>—</w:t>
            </w:r>
          </w:p>
        </w:tc>
        <w:tc>
          <w:tcPr>
            <w:tcW w:type="dxa" w:w="2412"/>
          </w:tcPr>
          <w:p>
            <w:pPr>
              <w:spacing w:before="40" w:after="40"/>
            </w:pPr>
            <w:r>
              <w:rPr>
                <w:b/>
                <w:i w:val="0"/>
                <w:sz w:val="17"/>
              </w:rPr>
              <w:t>$17,000,000</w:t>
            </w:r>
          </w:p>
        </w:tc>
        <w:tc>
          <w:tcPr>
            <w:tcW w:type="dxa" w:w="2412"/>
          </w:tcPr>
          <w:p>
            <w:pPr>
              <w:spacing w:before="40" w:after="40"/>
            </w:pPr>
            <w:r>
              <w:rPr>
                <w:b w:val="0"/>
                <w:i w:val="0"/>
                <w:sz w:val="17"/>
              </w:rPr>
              <w:t>—</w:t>
            </w:r>
          </w:p>
        </w:tc>
      </w:tr>
      <w:tr>
        <w:tc>
          <w:tcPr>
            <w:tcW w:type="dxa" w:w="2412"/>
          </w:tcPr>
          <w:p>
            <w:pPr>
              <w:spacing w:before="40" w:after="40"/>
            </w:pPr>
            <w:r>
              <w:rPr>
                <w:b/>
                <w:i w:val="0"/>
                <w:sz w:val="17"/>
              </w:rPr>
              <w:t>Year 1 target</w:t>
            </w:r>
            <w:r>
              <w:rPr>
                <w:b w:val="0"/>
                <w:i w:val="0"/>
                <w:sz w:val="17"/>
              </w:rPr>
              <w:t xml:space="preserve"> (business case)</w:t>
            </w:r>
          </w:p>
        </w:tc>
        <w:tc>
          <w:tcPr>
            <w:tcW w:type="dxa" w:w="2412"/>
          </w:tcPr>
          <w:p>
            <w:pPr>
              <w:spacing w:before="40" w:after="40"/>
            </w:pPr>
            <w:r>
              <w:rPr>
                <w:b w:val="0"/>
                <w:i w:val="0"/>
                <w:sz w:val="17"/>
              </w:rPr>
              <w:t>—</w:t>
            </w:r>
          </w:p>
        </w:tc>
        <w:tc>
          <w:tcPr>
            <w:tcW w:type="dxa" w:w="2412"/>
          </w:tcPr>
          <w:p>
            <w:pPr>
              <w:spacing w:before="40" w:after="40"/>
            </w:pPr>
            <w:r>
              <w:rPr>
                <w:b/>
                <w:i w:val="0"/>
                <w:sz w:val="17"/>
              </w:rPr>
              <w:t>$185,000,000</w:t>
            </w:r>
          </w:p>
        </w:tc>
        <w:tc>
          <w:tcPr>
            <w:tcW w:type="dxa" w:w="2412"/>
          </w:tcPr>
          <w:p>
            <w:pPr>
              <w:spacing w:before="40" w:after="40"/>
            </w:pPr>
            <w:r>
              <w:rPr>
                <w:b w:val="0"/>
                <w:i w:val="0"/>
                <w:sz w:val="17"/>
              </w:rPr>
              <w:t>—</w:t>
            </w:r>
          </w:p>
        </w:tc>
      </w:tr>
    </w:tbl>
    <w:p/>
    <w:p>
      <w:pPr>
        <w:spacing w:after="120"/>
      </w:pPr>
      <w:r>
        <w:rPr>
          <w:b w:val="0"/>
          <w:i w:val="0"/>
          <w:sz w:val="20"/>
        </w:rPr>
        <w:t xml:space="preserve">Partner firms are identified by tier rather than by name throughout this suite. The tier is the fact that matters to a gate decision: concentration. </w:t>
      </w:r>
      <w:r>
        <w:rPr>
          <w:b/>
          <w:i w:val="0"/>
          <w:sz w:val="20"/>
        </w:rPr>
        <w:t>3 firms carry 72% of the committed volume</w:t>
      </w:r>
      <w:r>
        <w:rPr>
          <w:b w:val="0"/>
          <w:i w:val="0"/>
          <w:sz w:val="20"/>
        </w:rPr>
        <w:t>, which means the Year One case is materially a bet on three commercial relationships. That concentration is the reason GC-04 was written against those three specifically.</w:t>
      </w:r>
    </w:p>
    <w:p>
      <w:pPr>
        <w:spacing w:before="280" w:after="80"/>
      </w:pPr>
      <w:r>
        <w:rPr>
          <w:b/>
          <w:i w:val="0"/>
          <w:color w:val="14352A"/>
          <w:sz w:val="28"/>
        </w:rPr>
        <w:t>3. The Year One Commitment Position — and What It Is Not</w:t>
      </w:r>
    </w:p>
    <w:p>
      <w:pPr>
        <w:spacing w:after="120"/>
      </w:pPr>
      <w:r>
        <w:rPr>
          <w:b w:val="0"/>
          <w:i w:val="0"/>
          <w:sz w:val="20"/>
        </w:rPr>
        <w:t xml:space="preserve">Gate condition </w:t>
      </w:r>
      <w:r>
        <w:rPr>
          <w:b/>
          <w:i w:val="0"/>
          <w:sz w:val="20"/>
        </w:rPr>
        <w:t>GC-04</w:t>
      </w:r>
      <w:r>
        <w:rPr>
          <w:b w:val="0"/>
          <w:i w:val="0"/>
          <w:sz w:val="20"/>
        </w:rPr>
        <w:t xml:space="preserve"> required the Head of Distribution to re-validate the Year One volume assumption with the three largest IMO partners and obtain written indications. It was issued 11 Jun 2026, due 31 Aug 2026, and closed early on 14 Aug 2026. The condition was discharged exactly as written.</w:t>
      </w:r>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Post-closure efficacy: GC-04 closed correctly and the problem it addressed is still open.</w:t>
            </w:r>
            <w:r>
              <w:rPr>
                <w:b w:val="0"/>
                <w:i w:val="0"/>
                <w:sz w:val="20"/>
              </w:rPr>
              <w:t xml:space="preserve"> The condition asked for written indications. It got them: $168,000,000, or 91% of the Year One target. It did not ask for full coverage of the target, and it did not get it — </w:t>
            </w:r>
            <w:r>
              <w:rPr>
                <w:b/>
                <w:i w:val="0"/>
                <w:sz w:val="20"/>
              </w:rPr>
              <w:t>$17,000,000 of Year One premium is assumed in the business case and committed by nobody.</w:t>
            </w:r>
            <w:r>
              <w:rPr>
                <w:b w:val="0"/>
                <w:i w:val="0"/>
                <w:sz w:val="20"/>
              </w:rPr>
              <w:t xml:space="preserve"> That figure is carried forward openly rather than absorbed. </w:t>
            </w:r>
            <w:r>
              <w:rPr>
                <w:b/>
                <w:i w:val="0"/>
                <w:sz w:val="20"/>
              </w:rPr>
              <w:t>Closed is not the same as resolved</w:t>
            </w:r>
            <w:r>
              <w:rPr>
                <w:b w:val="0"/>
                <w:i w:val="0"/>
                <w:sz w:val="20"/>
              </w:rPr>
              <w:t xml:space="preserve">, and a conditions register that cannot express the difference will quietly mislead the board that reads it. </w:t>
            </w:r>
          </w:p>
        </w:tc>
      </w:tr>
    </w:tbl>
    <w:p/>
    <w:p>
      <w:pPr>
        <w:spacing w:before="200" w:after="80"/>
      </w:pPr>
      <w:r>
        <w:rPr>
          <w:b/>
          <w:i w:val="0"/>
          <w:color w:val="14352A"/>
          <w:sz w:val="24"/>
        </w:rPr>
        <w:t>3.1 What a written commitment actually is</w:t>
      </w:r>
    </w:p>
    <w:p>
      <w:pPr>
        <w:spacing w:after="120"/>
      </w:pPr>
      <w:r>
        <w:rPr>
          <w:b w:val="0"/>
          <w:i w:val="0"/>
          <w:sz w:val="20"/>
        </w:rPr>
        <w:t xml:space="preserve">The indications obtained under GC-04 are </w:t>
      </w:r>
      <w:r>
        <w:rPr>
          <w:b/>
          <w:i w:val="0"/>
          <w:sz w:val="20"/>
        </w:rPr>
        <w:t>non-binding statements of production intent</w:t>
      </w:r>
      <w:r>
        <w:rPr>
          <w:b w:val="0"/>
          <w:i w:val="0"/>
          <w:sz w:val="20"/>
        </w:rPr>
        <w:t>. They are signed, they are specific, and they were given in good faith by firms with a commercial interest in being accurate. They are not purchase orders. An IMO that indicates volume and then does not produce it has broken no contract and owes no remedy. The program has no enforcement mechanism and should not pretend otherwise in front of a gate.</w:t>
      </w:r>
    </w:p>
    <w:p>
      <w:pPr>
        <w:spacing w:after="120"/>
      </w:pPr>
      <w:r>
        <w:rPr>
          <w:b w:val="0"/>
          <w:i w:val="0"/>
          <w:sz w:val="20"/>
        </w:rPr>
        <w:t>This matters for how the number is used. $168,000,000 is not 91% of the risk retired. It is 91% of the plan for which a named partner has said, on paper, that it intends to produce — a materially better evidentiary position than the first Gate 1 package had, which is precisely why the gate recycled. It is not the same as revenue.</w:t>
      </w:r>
    </w:p>
    <w:p>
      <w:pPr>
        <w:spacing w:before="200" w:after="80"/>
      </w:pPr>
      <w:r>
        <w:rPr>
          <w:b/>
          <w:i w:val="0"/>
          <w:color w:val="14352A"/>
          <w:sz w:val="24"/>
        </w:rPr>
        <w:t>3.2 The three ways the gap closes — and the one way it does not</w:t>
      </w:r>
    </w:p>
    <w:p>
      <w:pPr>
        <w:pStyle w:val="ListNumber"/>
        <w:spacing w:after="60"/>
      </w:pPr>
      <w:r>
        <w:rPr>
          <w:b/>
          <w:i w:val="0"/>
          <w:sz w:val="20"/>
        </w:rPr>
        <w:t>Additional partner commitment.</w:t>
      </w:r>
      <w:r>
        <w:rPr>
          <w:b w:val="0"/>
          <w:i w:val="0"/>
          <w:sz w:val="20"/>
        </w:rPr>
        <w:t xml:space="preserve"> Tier 2 and Tier 3 relationships expand their indications as the product becomes concrete — approved forms, a fixed cap rate, real illustrations. This is the expected path and is the reason indications are re-taken at Gate 4 rather than treated as settled.</w:t>
      </w:r>
    </w:p>
    <w:p>
      <w:pPr>
        <w:pStyle w:val="ListNumber"/>
        <w:spacing w:after="60"/>
      </w:pPr>
      <w:r>
        <w:rPr>
          <w:b/>
          <w:i w:val="0"/>
          <w:sz w:val="20"/>
        </w:rPr>
        <w:t>Deeper penetration of committed partners.</w:t>
      </w:r>
      <w:r>
        <w:rPr>
          <w:b w:val="0"/>
          <w:i w:val="0"/>
          <w:sz w:val="20"/>
        </w:rPr>
        <w:t xml:space="preserve"> The Tier 1 firms produce above their indication because advisor adoption within those firms exceeds the assumption. This is the path enablement can actually influence, which is why Sections 5 and 6 are where the program's controllable effort sits.</w:t>
      </w:r>
    </w:p>
    <w:p>
      <w:pPr>
        <w:pStyle w:val="ListNumber"/>
        <w:spacing w:after="60"/>
      </w:pPr>
      <w:r>
        <w:rPr>
          <w:b/>
          <w:i w:val="0"/>
          <w:sz w:val="20"/>
        </w:rPr>
        <w:t>Acknowledged shortfall.</w:t>
      </w:r>
      <w:r>
        <w:rPr>
          <w:b w:val="0"/>
          <w:i w:val="0"/>
          <w:sz w:val="20"/>
        </w:rPr>
        <w:t xml:space="preserve"> Year One comes in below plan. The business case survives this: Year One is a partial year from a 06 March 2028 launch, and the five-year case of $1,875,000,000 is not decided by it. The downside scenario — volumes 30% below plan — produces an internal rate of return of </w:t>
      </w:r>
      <w:r>
        <w:rPr>
          <w:b/>
          <w:i w:val="0"/>
          <w:sz w:val="20"/>
        </w:rPr>
        <w:t>10.1%</w:t>
      </w:r>
      <w:r>
        <w:rPr>
          <w:b w:val="0"/>
          <w:i w:val="0"/>
          <w:sz w:val="20"/>
        </w:rPr>
        <w:t xml:space="preserve"> against an </w:t>
      </w:r>
      <w:r>
        <w:rPr>
          <w:b/>
          <w:i w:val="0"/>
          <w:sz w:val="20"/>
        </w:rPr>
        <w:t>11.0%</w:t>
      </w:r>
      <w:r>
        <w:rPr>
          <w:b w:val="0"/>
          <w:i w:val="0"/>
          <w:sz w:val="20"/>
        </w:rPr>
        <w:t xml:space="preserve"> hurdle, and fails. That is the boundary this gap is being watched against.</w:t>
      </w:r>
    </w:p>
    <w:p>
      <w:pPr>
        <w:spacing w:after="120"/>
      </w:pPr>
      <w:r>
        <w:rPr>
          <w:b w:val="0"/>
          <w:i w:val="0"/>
          <w:sz w:val="20"/>
        </w:rPr>
        <w:t>The way it does not close is by assumption. No version of this plan will state that the gap is expected to close on the strength of relationship confidence. If the gap is still open at Gate 4, the Launch Readiness Criteria — not this plan — decide what that means for the launch.</w:t>
      </w:r>
    </w:p>
    <w:p>
      <w:pPr>
        <w:spacing w:before="280" w:after="80"/>
      </w:pPr>
      <w:r>
        <w:rPr>
          <w:b/>
          <w:i w:val="0"/>
          <w:color w:val="14352A"/>
          <w:sz w:val="28"/>
        </w:rPr>
        <w:t>4. Field Coverage: Six Wholesalers Planned, Four Committed</w:t>
      </w:r>
    </w:p>
    <w:p>
      <w:pPr>
        <w:spacing w:after="120"/>
      </w:pPr>
      <w:r>
        <w:rPr>
          <w:b w:val="0"/>
          <w:i w:val="0"/>
          <w:sz w:val="20"/>
        </w:rPr>
        <w:t xml:space="preserve">Issue </w:t>
      </w:r>
      <w:r>
        <w:rPr>
          <w:b/>
          <w:i w:val="0"/>
          <w:sz w:val="20"/>
        </w:rPr>
        <w:t>I-06</w:t>
      </w:r>
      <w:r>
        <w:rPr>
          <w:b w:val="0"/>
          <w:i w:val="0"/>
          <w:sz w:val="20"/>
        </w:rPr>
        <w:t xml:space="preserve"> records the shortfall plainly: the plan assumed 6 field wholesalers and Distribution can commit 4 at launch. This is a </w:t>
      </w:r>
      <w:r>
        <w:rPr>
          <w:b/>
          <w:i w:val="0"/>
          <w:sz w:val="20"/>
        </w:rPr>
        <w:t>capacity fact, not an attitude fact</w:t>
      </w:r>
      <w:r>
        <w:rPr>
          <w:b w:val="0"/>
          <w:i w:val="0"/>
          <w:sz w:val="20"/>
        </w:rPr>
        <w:t xml:space="preserve"> — nobody has declined to support the launch; the headcount is not there.</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Measure</w:t>
            </w:r>
          </w:p>
        </w:tc>
        <w:tc>
          <w:tcPr>
            <w:tcW w:type="dxa" w:w="2412"/>
            <w:shd w:val="clear" w:fill="14352A"/>
          </w:tcPr>
          <w:p>
            <w:pPr>
              <w:spacing w:before="40" w:after="40"/>
            </w:pPr>
            <w:r>
              <w:rPr>
                <w:b/>
                <w:i w:val="0"/>
                <w:color w:val="FFFFFF"/>
                <w:sz w:val="17"/>
              </w:rPr>
              <w:t>Planned</w:t>
            </w:r>
          </w:p>
        </w:tc>
        <w:tc>
          <w:tcPr>
            <w:tcW w:type="dxa" w:w="2412"/>
            <w:shd w:val="clear" w:fill="14352A"/>
          </w:tcPr>
          <w:p>
            <w:pPr>
              <w:spacing w:before="40" w:after="40"/>
            </w:pPr>
            <w:r>
              <w:rPr>
                <w:b/>
                <w:i w:val="0"/>
                <w:color w:val="FFFFFF"/>
                <w:sz w:val="17"/>
              </w:rPr>
              <w:t>Committed</w:t>
            </w:r>
          </w:p>
        </w:tc>
        <w:tc>
          <w:tcPr>
            <w:tcW w:type="dxa" w:w="2412"/>
            <w:shd w:val="clear" w:fill="14352A"/>
          </w:tcPr>
          <w:p>
            <w:pPr>
              <w:spacing w:before="40" w:after="40"/>
            </w:pPr>
            <w:r>
              <w:rPr>
                <w:b/>
                <w:i w:val="0"/>
                <w:color w:val="FFFFFF"/>
                <w:sz w:val="17"/>
              </w:rPr>
              <w:t>Position</w:t>
            </w:r>
          </w:p>
        </w:tc>
      </w:tr>
      <w:tr>
        <w:tc>
          <w:tcPr>
            <w:tcW w:type="dxa" w:w="2412"/>
          </w:tcPr>
          <w:p>
            <w:pPr>
              <w:spacing w:before="40" w:after="40"/>
            </w:pPr>
            <w:r>
              <w:rPr>
                <w:b w:val="0"/>
                <w:i w:val="0"/>
                <w:sz w:val="17"/>
              </w:rPr>
              <w:t>Field wholesalers at launch</w:t>
            </w:r>
          </w:p>
        </w:tc>
        <w:tc>
          <w:tcPr>
            <w:tcW w:type="dxa" w:w="2412"/>
          </w:tcPr>
          <w:p>
            <w:pPr>
              <w:spacing w:before="40" w:after="40"/>
            </w:pPr>
            <w:r>
              <w:rPr>
                <w:b w:val="0"/>
                <w:i w:val="0"/>
                <w:sz w:val="17"/>
              </w:rPr>
              <w:t>6</w:t>
            </w:r>
          </w:p>
        </w:tc>
        <w:tc>
          <w:tcPr>
            <w:tcW w:type="dxa" w:w="2412"/>
          </w:tcPr>
          <w:p>
            <w:pPr>
              <w:spacing w:before="40" w:after="40"/>
            </w:pPr>
            <w:r>
              <w:rPr>
                <w:b w:val="0"/>
                <w:i w:val="0"/>
                <w:sz w:val="17"/>
              </w:rPr>
              <w:t>4</w:t>
            </w:r>
          </w:p>
        </w:tc>
        <w:tc>
          <w:tcPr>
            <w:tcW w:type="dxa" w:w="2412"/>
          </w:tcPr>
          <w:p>
            <w:pPr>
              <w:spacing w:before="40" w:after="40"/>
            </w:pPr>
            <w:r>
              <w:rPr>
                <w:b w:val="0"/>
                <w:i w:val="0"/>
                <w:sz w:val="17"/>
              </w:rPr>
              <w:t>67% of planned coverage</w:t>
            </w:r>
          </w:p>
        </w:tc>
      </w:tr>
      <w:tr>
        <w:tc>
          <w:tcPr>
            <w:tcW w:type="dxa" w:w="2412"/>
          </w:tcPr>
          <w:p>
            <w:pPr>
              <w:spacing w:before="40" w:after="40"/>
            </w:pPr>
            <w:r>
              <w:rPr>
                <w:b w:val="0"/>
                <w:i w:val="0"/>
                <w:sz w:val="17"/>
              </w:rPr>
              <w:t>Partner relationships to service</w:t>
            </w:r>
          </w:p>
        </w:tc>
        <w:tc>
          <w:tcPr>
            <w:tcW w:type="dxa" w:w="2412"/>
          </w:tcPr>
          <w:p>
            <w:pPr>
              <w:spacing w:before="40" w:after="40"/>
            </w:pPr>
            <w:r>
              <w:rPr>
                <w:b w:val="0"/>
                <w:i w:val="0"/>
                <w:sz w:val="17"/>
              </w:rPr>
              <w:t>12</w:t>
            </w:r>
          </w:p>
        </w:tc>
        <w:tc>
          <w:tcPr>
            <w:tcW w:type="dxa" w:w="2412"/>
          </w:tcPr>
          <w:p>
            <w:pPr>
              <w:spacing w:before="40" w:after="40"/>
            </w:pPr>
            <w:r>
              <w:rPr>
                <w:b w:val="0"/>
                <w:i w:val="0"/>
                <w:sz w:val="17"/>
              </w:rPr>
              <w:t>12</w:t>
            </w:r>
          </w:p>
        </w:tc>
        <w:tc>
          <w:tcPr>
            <w:tcW w:type="dxa" w:w="2412"/>
          </w:tcPr>
          <w:p>
            <w:pPr>
              <w:spacing w:before="40" w:after="40"/>
            </w:pPr>
            <w:r>
              <w:rPr>
                <w:b w:val="0"/>
                <w:i w:val="0"/>
                <w:sz w:val="17"/>
              </w:rPr>
              <w:t>unchanged</w:t>
            </w:r>
          </w:p>
        </w:tc>
      </w:tr>
      <w:tr>
        <w:tc>
          <w:tcPr>
            <w:tcW w:type="dxa" w:w="2412"/>
          </w:tcPr>
          <w:p>
            <w:pPr>
              <w:spacing w:before="40" w:after="40"/>
            </w:pPr>
            <w:r>
              <w:rPr>
                <w:b w:val="0"/>
                <w:i w:val="0"/>
                <w:sz w:val="17"/>
              </w:rPr>
              <w:t>Relationships per wholesaler</w:t>
            </w:r>
          </w:p>
        </w:tc>
        <w:tc>
          <w:tcPr>
            <w:tcW w:type="dxa" w:w="2412"/>
          </w:tcPr>
          <w:p>
            <w:pPr>
              <w:spacing w:before="40" w:after="40"/>
            </w:pPr>
            <w:r>
              <w:rPr>
                <w:b w:val="0"/>
                <w:i w:val="0"/>
                <w:sz w:val="17"/>
              </w:rPr>
              <w:t>2.0</w:t>
            </w:r>
          </w:p>
        </w:tc>
        <w:tc>
          <w:tcPr>
            <w:tcW w:type="dxa" w:w="2412"/>
          </w:tcPr>
          <w:p>
            <w:pPr>
              <w:spacing w:before="40" w:after="40"/>
            </w:pPr>
            <w:r>
              <w:rPr>
                <w:b w:val="0"/>
                <w:i w:val="0"/>
                <w:sz w:val="17"/>
              </w:rPr>
              <w:t>3.0</w:t>
            </w:r>
          </w:p>
        </w:tc>
        <w:tc>
          <w:tcPr>
            <w:tcW w:type="dxa" w:w="2412"/>
          </w:tcPr>
          <w:p>
            <w:pPr>
              <w:spacing w:before="40" w:after="40"/>
            </w:pPr>
            <w:r>
              <w:rPr>
                <w:b w:val="0"/>
                <w:i w:val="0"/>
                <w:sz w:val="17"/>
              </w:rPr>
              <w:t>+1.0 each</w:t>
            </w:r>
          </w:p>
        </w:tc>
      </w:tr>
      <w:tr>
        <w:tc>
          <w:tcPr>
            <w:tcW w:type="dxa" w:w="2412"/>
          </w:tcPr>
          <w:p>
            <w:pPr>
              <w:spacing w:before="40" w:after="40"/>
            </w:pPr>
            <w:r>
              <w:rPr>
                <w:b w:val="0"/>
                <w:i w:val="0"/>
                <w:sz w:val="17"/>
              </w:rPr>
              <w:t>Year 1 premium assumption</w:t>
            </w:r>
          </w:p>
        </w:tc>
        <w:tc>
          <w:tcPr>
            <w:tcW w:type="dxa" w:w="2412"/>
          </w:tcPr>
          <w:p>
            <w:pPr>
              <w:spacing w:before="40" w:after="40"/>
            </w:pPr>
            <w:r>
              <w:rPr>
                <w:b w:val="0"/>
                <w:i w:val="0"/>
                <w:sz w:val="17"/>
              </w:rPr>
              <w:t>$185,000,000</w:t>
            </w:r>
          </w:p>
        </w:tc>
        <w:tc>
          <w:tcPr>
            <w:tcW w:type="dxa" w:w="2412"/>
          </w:tcPr>
          <w:p>
            <w:pPr>
              <w:spacing w:before="40" w:after="40"/>
            </w:pPr>
            <w:r>
              <w:rPr>
                <w:b w:val="0"/>
                <w:i w:val="0"/>
                <w:sz w:val="17"/>
              </w:rPr>
              <w:t>$185,000,000</w:t>
            </w:r>
          </w:p>
        </w:tc>
        <w:tc>
          <w:tcPr>
            <w:tcW w:type="dxa" w:w="2412"/>
          </w:tcPr>
          <w:p>
            <w:pPr>
              <w:spacing w:before="40" w:after="40"/>
            </w:pPr>
            <w:r>
              <w:rPr>
                <w:b w:val="0"/>
                <w:i w:val="0"/>
                <w:sz w:val="17"/>
              </w:rPr>
              <w:t>unchanged</w:t>
            </w:r>
          </w:p>
        </w:tc>
      </w:tr>
    </w:tbl>
    <w:p/>
    <w:p>
      <w:pPr>
        <w:spacing w:after="120"/>
      </w:pPr>
      <w:r>
        <w:rPr>
          <w:b w:val="0"/>
          <w:i w:val="0"/>
          <w:sz w:val="20"/>
        </w:rPr>
        <w:t xml:space="preserve">The arithmetic is unforgiving in one direction: </w:t>
      </w:r>
      <w:r>
        <w:rPr>
          <w:b/>
          <w:i w:val="0"/>
          <w:sz w:val="20"/>
        </w:rPr>
        <w:t>67% of the planned field capacity is being asked to carry 100% of the volume assumption.</w:t>
      </w:r>
      <w:r>
        <w:rPr>
          <w:b w:val="0"/>
          <w:i w:val="0"/>
          <w:sz w:val="20"/>
        </w:rPr>
        <w:t xml:space="preserve"> The program does not claim this relationship is linear — wholesaler productivity is not a fixed constant, and a smaller field team concentrating on the Tier 1 firms may well outproduce a larger one spread thin. But the direction is unambiguous, and the honest statement is that the plan's volume assumption was built on a coverage model the program will not have.</w:t>
      </w:r>
    </w:p>
    <w:p>
      <w:pPr>
        <w:spacing w:before="200" w:after="80"/>
      </w:pPr>
      <w:r>
        <w:rPr>
          <w:b/>
          <w:i w:val="0"/>
          <w:color w:val="14352A"/>
          <w:sz w:val="24"/>
        </w:rPr>
        <w:t>4.1 The coverage decision this forces</w:t>
      </w:r>
    </w:p>
    <w:p>
      <w:pPr>
        <w:spacing w:after="120"/>
      </w:pPr>
      <w:r>
        <w:rPr>
          <w:b w:val="0"/>
          <w:i w:val="0"/>
          <w:sz w:val="20"/>
        </w:rPr>
        <w:t>With 4 wholesalers and 12 relationships, one of two things happens, and it is better to choose than to discover:</w:t>
      </w:r>
    </w:p>
    <w:p>
      <w:pPr>
        <w:pStyle w:val="ListBullet"/>
        <w:spacing w:after="60"/>
      </w:pPr>
      <w:r>
        <w:rPr>
          <w:b/>
          <w:i w:val="0"/>
          <w:sz w:val="20"/>
        </w:rPr>
        <w:t>Concentrate.</w:t>
      </w:r>
      <w:r>
        <w:rPr>
          <w:b w:val="0"/>
          <w:i w:val="0"/>
          <w:sz w:val="20"/>
        </w:rPr>
        <w:t xml:space="preserve"> Assign the 4 wholesalers to the Tier 1 and Tier 2 firms that carry 92% of committed volume, and service Tier 3 through internal wholesaling and the enablement platform rather than field presence. Protects the committed volume; accepts that the uncommitted gap is less likely to close from the tier most able to close it late.</w:t>
      </w:r>
    </w:p>
    <w:p>
      <w:pPr>
        <w:pStyle w:val="ListBullet"/>
        <w:spacing w:after="60"/>
      </w:pPr>
      <w:r>
        <w:rPr>
          <w:b/>
          <w:i w:val="0"/>
          <w:sz w:val="20"/>
        </w:rPr>
        <w:t>Spread.</w:t>
      </w:r>
      <w:r>
        <w:rPr>
          <w:b w:val="0"/>
          <w:i w:val="0"/>
          <w:sz w:val="20"/>
        </w:rPr>
        <w:t xml:space="preserve"> Widen every territory. Preserves the possibility of new commitment across all 12 relationships; reduces depth everywhere, including with the three firms the Year One case depends on.</w:t>
      </w:r>
    </w:p>
    <w:p>
      <w:pPr>
        <w:spacing w:after="120"/>
      </w:pPr>
      <w:r>
        <w:rPr>
          <w:b/>
          <w:i w:val="0"/>
          <w:sz w:val="20"/>
        </w:rPr>
        <w:t>The recommendation is to concentrate</w:t>
      </w:r>
      <w:r>
        <w:rPr>
          <w:b w:val="0"/>
          <w:i w:val="0"/>
          <w:sz w:val="20"/>
        </w:rPr>
        <w:t>, and to fund internal wholesaling and digital enablement for Tier 3 out of the enablement budget rather than pretending the field model still covers it. The decision is R. Castellanos's to make and is scheduled for Gate 3, where the filing outcome will have clarified which states are open at launch and therefore which territories exist at all.</w:t>
      </w:r>
    </w:p>
    <w:p>
      <w:pPr>
        <w:spacing w:before="280" w:after="80"/>
      </w:pPr>
      <w:r>
        <w:rPr>
          <w:b/>
          <w:i w:val="0"/>
          <w:color w:val="14352A"/>
          <w:sz w:val="28"/>
        </w:rPr>
        <w:t>5. Producer Appointment, Contracting &amp; Licensing Throughput</w:t>
      </w:r>
    </w:p>
    <w:p>
      <w:pPr>
        <w:spacing w:after="120"/>
      </w:pPr>
      <w:r>
        <w:rPr>
          <w:b w:val="0"/>
          <w:i w:val="0"/>
          <w:sz w:val="20"/>
        </w:rPr>
        <w:t xml:space="preserve">Risk </w:t>
      </w:r>
      <w:r>
        <w:rPr>
          <w:b/>
          <w:i w:val="0"/>
          <w:sz w:val="20"/>
        </w:rPr>
        <w:t>R-11</w:t>
      </w:r>
      <w:r>
        <w:rPr>
          <w:b w:val="0"/>
          <w:i w:val="0"/>
          <w:sz w:val="20"/>
        </w:rPr>
        <w:t xml:space="preserve"> is owned by H. Kirkpatrick: advisor appointment and licensing throughput limits the number of producing agents at launch. This section quantifies what that risk is actually about.</w:t>
      </w:r>
    </w:p>
    <w:p>
      <w:pPr>
        <w:spacing w:before="200" w:after="80"/>
      </w:pPr>
      <w:r>
        <w:rPr>
          <w:b/>
          <w:i w:val="0"/>
          <w:color w:val="14352A"/>
          <w:sz w:val="24"/>
        </w:rPr>
        <w:t>5.1 How many producers the plan implies</w:t>
      </w:r>
    </w:p>
    <w:p>
      <w:pPr>
        <w:spacing w:after="120"/>
      </w:pPr>
      <w:r>
        <w:rPr>
          <w:b w:val="0"/>
          <w:i w:val="0"/>
          <w:sz w:val="20"/>
        </w:rPr>
        <w:t xml:space="preserve">The Year One premium target of $185,000,000 at an average case size of $118,000 implies </w:t>
      </w:r>
      <w:r>
        <w:rPr>
          <w:b/>
          <w:i w:val="0"/>
          <w:sz w:val="20"/>
        </w:rPr>
        <w:t>1,568 policies</w:t>
      </w:r>
      <w:r>
        <w:rPr>
          <w:b w:val="0"/>
          <w:i w:val="0"/>
          <w:sz w:val="20"/>
        </w:rPr>
        <w:t xml:space="preserve"> in the Year One window. Both inputs are locked business-case facts, so the policy count is derived, not assumed. The number of </w:t>
      </w:r>
      <w:r>
        <w:rPr>
          <w:b w:val="0"/>
          <w:i/>
          <w:sz w:val="20"/>
        </w:rPr>
        <w:t>producers</w:t>
      </w:r>
      <w:r>
        <w:rPr>
          <w:b w:val="0"/>
          <w:i w:val="0"/>
          <w:sz w:val="20"/>
        </w:rPr>
        <w:t xml:space="preserve"> required to write them is not derived from anything — it depends on a productivity assumption this program has never validated. That is the honest position, so the plan presents a band rather than a number:</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Productivity assumption</w:t>
            </w:r>
          </w:p>
        </w:tc>
        <w:tc>
          <w:tcPr>
            <w:tcW w:type="dxa" w:w="3216"/>
            <w:shd w:val="clear" w:fill="14352A"/>
          </w:tcPr>
          <w:p>
            <w:pPr>
              <w:spacing w:before="40" w:after="40"/>
            </w:pPr>
            <w:r>
              <w:rPr>
                <w:b/>
                <w:i w:val="0"/>
                <w:color w:val="FFFFFF"/>
                <w:sz w:val="17"/>
              </w:rPr>
              <w:t>Producing advisors implied</w:t>
            </w:r>
          </w:p>
        </w:tc>
        <w:tc>
          <w:tcPr>
            <w:tcW w:type="dxa" w:w="3216"/>
            <w:shd w:val="clear" w:fill="14352A"/>
          </w:tcPr>
          <w:p>
            <w:pPr>
              <w:spacing w:before="40" w:after="40"/>
            </w:pPr>
            <w:r>
              <w:rPr>
                <w:b/>
                <w:i w:val="0"/>
                <w:color w:val="FFFFFF"/>
                <w:sz w:val="17"/>
              </w:rPr>
              <w:t>Per month of Year 1</w:t>
            </w:r>
          </w:p>
        </w:tc>
      </w:tr>
      <w:tr>
        <w:tc>
          <w:tcPr>
            <w:tcW w:type="dxa" w:w="3216"/>
          </w:tcPr>
          <w:p>
            <w:pPr>
              <w:spacing w:before="40" w:after="40"/>
            </w:pPr>
            <w:r>
              <w:rPr>
                <w:b w:val="0"/>
                <w:i w:val="0"/>
                <w:sz w:val="17"/>
              </w:rPr>
              <w:t>3.0 cases per producing advisor</w:t>
            </w:r>
          </w:p>
        </w:tc>
        <w:tc>
          <w:tcPr>
            <w:tcW w:type="dxa" w:w="3216"/>
          </w:tcPr>
          <w:p>
            <w:pPr>
              <w:spacing w:before="40" w:after="40"/>
            </w:pPr>
            <w:r>
              <w:rPr>
                <w:b w:val="0"/>
                <w:i w:val="0"/>
                <w:sz w:val="17"/>
              </w:rPr>
              <w:t>523</w:t>
            </w:r>
          </w:p>
        </w:tc>
        <w:tc>
          <w:tcPr>
            <w:tcW w:type="dxa" w:w="3216"/>
          </w:tcPr>
          <w:p>
            <w:pPr>
              <w:spacing w:before="40" w:after="40"/>
            </w:pPr>
            <w:r>
              <w:rPr>
                <w:b w:val="0"/>
                <w:i w:val="0"/>
                <w:sz w:val="17"/>
              </w:rPr>
              <w:t>44</w:t>
            </w:r>
          </w:p>
        </w:tc>
      </w:tr>
      <w:tr>
        <w:tc>
          <w:tcPr>
            <w:tcW w:type="dxa" w:w="3216"/>
          </w:tcPr>
          <w:p>
            <w:pPr>
              <w:spacing w:before="40" w:after="40"/>
            </w:pPr>
            <w:r>
              <w:rPr>
                <w:b w:val="0"/>
                <w:i w:val="0"/>
                <w:sz w:val="17"/>
              </w:rPr>
              <w:t>2.0 cases per producing advisor</w:t>
            </w:r>
          </w:p>
        </w:tc>
        <w:tc>
          <w:tcPr>
            <w:tcW w:type="dxa" w:w="3216"/>
          </w:tcPr>
          <w:p>
            <w:pPr>
              <w:spacing w:before="40" w:after="40"/>
            </w:pPr>
            <w:r>
              <w:rPr>
                <w:b w:val="0"/>
                <w:i w:val="0"/>
                <w:sz w:val="17"/>
              </w:rPr>
              <w:t>784</w:t>
            </w:r>
          </w:p>
        </w:tc>
        <w:tc>
          <w:tcPr>
            <w:tcW w:type="dxa" w:w="3216"/>
          </w:tcPr>
          <w:p>
            <w:pPr>
              <w:spacing w:before="40" w:after="40"/>
            </w:pPr>
            <w:r>
              <w:rPr>
                <w:b w:val="0"/>
                <w:i w:val="0"/>
                <w:sz w:val="17"/>
              </w:rPr>
              <w:t>65</w:t>
            </w:r>
          </w:p>
        </w:tc>
      </w:tr>
      <w:tr>
        <w:tc>
          <w:tcPr>
            <w:tcW w:type="dxa" w:w="3216"/>
          </w:tcPr>
          <w:p>
            <w:pPr>
              <w:spacing w:before="40" w:after="40"/>
            </w:pPr>
            <w:r>
              <w:rPr>
                <w:b w:val="0"/>
                <w:i w:val="0"/>
                <w:sz w:val="17"/>
              </w:rPr>
              <w:t>1.5 cases per producing advisor</w:t>
            </w:r>
          </w:p>
        </w:tc>
        <w:tc>
          <w:tcPr>
            <w:tcW w:type="dxa" w:w="3216"/>
          </w:tcPr>
          <w:p>
            <w:pPr>
              <w:spacing w:before="40" w:after="40"/>
            </w:pPr>
            <w:r>
              <w:rPr>
                <w:b w:val="0"/>
                <w:i w:val="0"/>
                <w:sz w:val="17"/>
              </w:rPr>
              <w:t>1,045</w:t>
            </w:r>
          </w:p>
        </w:tc>
        <w:tc>
          <w:tcPr>
            <w:tcW w:type="dxa" w:w="3216"/>
          </w:tcPr>
          <w:p>
            <w:pPr>
              <w:spacing w:before="40" w:after="40"/>
            </w:pPr>
            <w:r>
              <w:rPr>
                <w:b w:val="0"/>
                <w:i w:val="0"/>
                <w:sz w:val="17"/>
              </w:rPr>
              <w:t>87</w:t>
            </w:r>
          </w:p>
        </w:tc>
      </w:tr>
    </w:tbl>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None of the figures in this table is a locked fact.</w:t>
            </w:r>
            <w:r>
              <w:rPr>
                <w:b w:val="0"/>
                <w:i w:val="0"/>
                <w:sz w:val="20"/>
              </w:rPr>
              <w:t xml:space="preserve"> They are a sensitivity, and they are printed because the spread is the finding: the required producer base varies by a factor of two across plausible productivity assumptions, and appointment operations must be built for the top of the band, not the middle of it. Appointing more producers than are needed costs contracting effort; appointing fewer than are needed cannot be fixed after launch, because the constraint is calendar time in state appointment processing, not money. </w:t>
            </w:r>
          </w:p>
        </w:tc>
      </w:tr>
    </w:tbl>
    <w:p/>
    <w:p>
      <w:pPr>
        <w:spacing w:before="200" w:after="80"/>
      </w:pPr>
      <w:r>
        <w:rPr>
          <w:b/>
          <w:i w:val="0"/>
          <w:color w:val="14352A"/>
          <w:sz w:val="24"/>
        </w:rPr>
        <w:t>5.2 The appointment pipeline</w:t>
      </w:r>
    </w:p>
    <w:p>
      <w:pPr>
        <w:spacing w:after="120"/>
      </w:pPr>
      <w:r>
        <w:rPr>
          <w:b w:val="0"/>
          <w:i w:val="0"/>
          <w:sz w:val="20"/>
        </w:rPr>
        <w:t>Appointment is the schedule-free half of enablement (Section 1.3) and is therefore front-loaded. The sequence per producer is: existing state insurance license verified → carrier contracting package executed → background and regulatory history review → state appointment filed and confirmed → commission and hierarchy setup in the administration platform.</w:t>
      </w:r>
    </w:p>
    <w:p>
      <w:pPr>
        <w:pStyle w:val="ListBullet"/>
        <w:spacing w:after="60"/>
      </w:pPr>
      <w:r>
        <w:rPr>
          <w:b/>
          <w:i w:val="0"/>
          <w:sz w:val="20"/>
        </w:rPr>
        <w:t>Licensing is not the program's to solve.</w:t>
      </w:r>
      <w:r>
        <w:rPr>
          <w:b w:val="0"/>
          <w:i w:val="0"/>
          <w:sz w:val="20"/>
        </w:rPr>
        <w:t xml:space="preserve"> Producers arrive licensed or they do not sell; the program verifies, it does not remediate. Where a producer's license does not cover a target state, that is a partner recruitment matter for the IMO.</w:t>
      </w:r>
    </w:p>
    <w:p>
      <w:pPr>
        <w:pStyle w:val="ListBullet"/>
        <w:spacing w:after="60"/>
      </w:pPr>
      <w:r>
        <w:rPr>
          <w:b/>
          <w:i w:val="0"/>
          <w:sz w:val="20"/>
        </w:rPr>
        <w:t>Appointment is state-by-state and clock-bound.</w:t>
      </w:r>
      <w:r>
        <w:rPr>
          <w:b w:val="0"/>
          <w:i w:val="0"/>
          <w:sz w:val="20"/>
        </w:rPr>
        <w:t xml:space="preserve"> Each state processes at its own speed, and those clocks do not compress under commercial pressure — the same structural fact the filing plan lives with (DEP-01).</w:t>
      </w:r>
    </w:p>
    <w:p>
      <w:pPr>
        <w:pStyle w:val="ListBullet"/>
        <w:spacing w:after="60"/>
      </w:pPr>
      <w:r>
        <w:rPr>
          <w:b/>
          <w:i w:val="0"/>
          <w:sz w:val="20"/>
        </w:rPr>
        <w:t>Hierarchy and commission setup is a platform dependency.</w:t>
      </w:r>
      <w:r>
        <w:rPr>
          <w:b w:val="0"/>
          <w:i w:val="0"/>
          <w:sz w:val="20"/>
        </w:rPr>
        <w:t xml:space="preserve"> It runs on the annuity administration platform being configured by the IT — Annuity Administration Platform team (10 people), and cannot be completed before that configuration supports the product.</w:t>
      </w:r>
    </w:p>
    <w:p>
      <w:pPr>
        <w:spacing w:after="120"/>
      </w:pPr>
      <w:r>
        <w:rPr>
          <w:b w:val="0"/>
          <w:i w:val="0"/>
          <w:sz w:val="20"/>
        </w:rPr>
        <w:t>Appointment against the carrier can and should begin well ahead of product approval. Where a producer is already appointed to Lighthouse Financial Services Company for another product, no new appointment is required at all — which is the strongest argument for the A-05 constraint of distributing through existing relationships.</w:t>
      </w:r>
    </w:p>
    <w:p>
      <w:pPr>
        <w:spacing w:before="280" w:after="80"/>
      </w:pPr>
      <w:r>
        <w:rPr>
          <w:b/>
          <w:i w:val="0"/>
          <w:color w:val="14352A"/>
          <w:sz w:val="28"/>
        </w:rPr>
        <w:t>6. Product Certification &amp; Suitability — NAIC Model Regulation #275</w:t>
      </w:r>
    </w:p>
    <w:p>
      <w:pPr>
        <w:spacing w:after="120"/>
      </w:pPr>
      <w:r>
        <w:rPr>
          <w:b w:val="0"/>
          <w:i w:val="0"/>
          <w:sz w:val="20"/>
        </w:rPr>
        <w:t xml:space="preserve">This is the schedule-bound half of enablement, and it carries a regulatory obligation, not merely a commercial one. </w:t>
      </w:r>
      <w:r>
        <w:rPr>
          <w:b/>
          <w:i w:val="0"/>
          <w:sz w:val="20"/>
        </w:rPr>
        <w:t>NAIC Model Regulation #275</w:t>
      </w:r>
      <w:r>
        <w:rPr>
          <w:b w:val="0"/>
          <w:i w:val="0"/>
          <w:sz w:val="20"/>
        </w:rPr>
        <w:t>, the Suitability in Annuity Transactions Model Regulation, establishes a best-interest standard of conduct for annuity recommendations and imposes producer training requirements as a condition of making them. Adoption is state-by-state, so the obligation varies across the target footprint and the enablement program must track it per state rather than assume a uniform national rule.</w:t>
      </w:r>
    </w:p>
    <w:p>
      <w:pPr>
        <w:spacing w:before="200" w:after="80"/>
      </w:pPr>
      <w:r>
        <w:rPr>
          <w:b/>
          <w:i w:val="0"/>
          <w:color w:val="14352A"/>
          <w:sz w:val="24"/>
        </w:rPr>
        <w:t>6.1 The two training obligations</w:t>
      </w:r>
    </w:p>
    <w:p>
      <w:pPr>
        <w:pStyle w:val="ListBullet"/>
        <w:spacing w:after="60"/>
      </w:pPr>
      <w:r>
        <w:rPr>
          <w:b/>
          <w:i w:val="0"/>
          <w:sz w:val="20"/>
        </w:rPr>
        <w:t>General annuity training.</w:t>
      </w:r>
      <w:r>
        <w:rPr>
          <w:b w:val="0"/>
          <w:i w:val="0"/>
          <w:sz w:val="20"/>
        </w:rPr>
        <w:t xml:space="preserve"> A one-time course, typically four hours, required before a producer may sell any annuity in an adopting state. Most target-state producers already hold it. The program verifies completion; it does not deliver this course.</w:t>
      </w:r>
    </w:p>
    <w:p>
      <w:pPr>
        <w:pStyle w:val="ListBullet"/>
        <w:spacing w:after="60"/>
      </w:pPr>
      <w:r>
        <w:rPr>
          <w:b/>
          <w:i w:val="0"/>
          <w:sz w:val="20"/>
        </w:rPr>
        <w:t>Product-specific training.</w:t>
      </w:r>
      <w:r>
        <w:rPr>
          <w:b w:val="0"/>
          <w:i w:val="0"/>
          <w:sz w:val="20"/>
        </w:rPr>
        <w:t xml:space="preserve"> Required before a producer may sell </w:t>
      </w:r>
      <w:r>
        <w:rPr>
          <w:b w:val="0"/>
          <w:i/>
          <w:sz w:val="20"/>
        </w:rPr>
        <w:t>this</w:t>
      </w:r>
      <w:r>
        <w:rPr>
          <w:b w:val="0"/>
          <w:i w:val="0"/>
          <w:sz w:val="20"/>
        </w:rPr>
        <w:t xml:space="preserve"> product, and it must cover the material features a recommendation depends on: the three crediting strategies, the cap rate and its declaration mechanics, the seven-year declining surrender charge, and the optional Guaranteed Lifetime Withdrawal Benefit rider. </w:t>
      </w:r>
      <w:r>
        <w:rPr>
          <w:b/>
          <w:i w:val="0"/>
          <w:sz w:val="20"/>
        </w:rPr>
        <w:t>The program builds and delivers this course</w:t>
      </w:r>
      <w:r>
        <w:rPr>
          <w:b w:val="0"/>
          <w:i w:val="0"/>
          <w:sz w:val="20"/>
        </w:rPr>
        <w:t>, and cannot build it against forms that are not yet approved.</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Scope reduction improved the training position.</w:t>
            </w:r>
            <w:r>
              <w:rPr>
                <w:b w:val="0"/>
                <w:i w:val="0"/>
                <w:sz w:val="20"/>
              </w:rPr>
              <w:t xml:space="preserve"> Gate condition </w:t>
            </w:r>
            <w:r>
              <w:rPr>
                <w:b/>
                <w:i w:val="0"/>
                <w:sz w:val="20"/>
              </w:rPr>
              <w:t>GC-01</w:t>
            </w:r>
            <w:r>
              <w:rPr>
                <w:b w:val="0"/>
                <w:i w:val="0"/>
                <w:sz w:val="20"/>
              </w:rPr>
              <w:t xml:space="preserve"> cut the launch crediting strategies from five to three (decision </w:t>
            </w:r>
            <w:r>
              <w:rPr>
                <w:b/>
                <w:i w:val="0"/>
                <w:sz w:val="20"/>
              </w:rPr>
              <w:t>D-03</w:t>
            </w:r>
            <w:r>
              <w:rPr>
                <w:b w:val="0"/>
                <w:i w:val="0"/>
                <w:sz w:val="20"/>
              </w:rPr>
              <w:t xml:space="preserve">). That was taken for illustration-engine reasons (I-02), but it lands here as well: a suitability discussion covering three crediting strategies is materially simpler to teach, to document and to supervise than one covering five. A product a producer cannot confidently explain is a product a producer does not recommend, and the training burden of a complex crediting menu falls on exactly the advisors whose adoption the volume assumption depends on. </w:t>
            </w:r>
          </w:p>
        </w:tc>
      </w:tr>
    </w:tbl>
    <w:p/>
    <w:p>
      <w:pPr>
        <w:spacing w:before="200" w:after="80"/>
      </w:pPr>
      <w:r>
        <w:rPr>
          <w:b/>
          <w:i w:val="0"/>
          <w:color w:val="14352A"/>
          <w:sz w:val="24"/>
        </w:rPr>
        <w:t>6.2 Suitability supervision at launch</w:t>
      </w:r>
    </w:p>
    <w:p>
      <w:pPr>
        <w:spacing w:after="120"/>
      </w:pPr>
      <w:r>
        <w:rPr>
          <w:b w:val="0"/>
          <w:i w:val="0"/>
          <w:sz w:val="20"/>
        </w:rPr>
        <w:t xml:space="preserve">Best-interest obligations attach at the point of recommendation, which means the supervision apparatus must exist on day one and not be built in response to the first complaint. The Operations — New Business &amp; Policyholder Services team carries a dedicated Suitability Review Analyst; the review workflow, the documentation standard for a recommendation, and the escalation path for a declined case are all Operations Readiness scope and are handed off to that plan. What this plan owns is that </w:t>
      </w:r>
      <w:r>
        <w:rPr>
          <w:b/>
          <w:i w:val="0"/>
          <w:sz w:val="20"/>
        </w:rPr>
        <w:t>no producer is certified to sell until both training obligations are evidenced</w:t>
      </w:r>
      <w:r>
        <w:rPr>
          <w:b w:val="0"/>
          <w:i w:val="0"/>
          <w:sz w:val="20"/>
        </w:rPr>
        <w:t>, and that the evidence is retained where a market conduct examination can find it.</w:t>
      </w:r>
    </w:p>
    <w:p>
      <w:pPr>
        <w:spacing w:before="280" w:after="80"/>
      </w:pPr>
      <w:r>
        <w:rPr>
          <w:b/>
          <w:i w:val="0"/>
          <w:color w:val="14352A"/>
          <w:sz w:val="28"/>
        </w:rPr>
        <w:t>7. Sales Literature, Illustrations &amp; Compliance Review</w:t>
      </w:r>
    </w:p>
    <w:p>
      <w:pPr>
        <w:spacing w:after="120"/>
      </w:pPr>
      <w:r>
        <w:rPr>
          <w:b w:val="0"/>
          <w:i w:val="0"/>
          <w:sz w:val="20"/>
        </w:rPr>
        <w:t>Every advisor-facing and consumer-facing piece is subject to review and, in most target states, to filing alongside the contract forms. This is where enablement most often underestimates its own timeline: material development is fast and material approval is not.</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Material</w:t>
            </w:r>
          </w:p>
        </w:tc>
        <w:tc>
          <w:tcPr>
            <w:tcW w:type="dxa" w:w="2412"/>
            <w:shd w:val="clear" w:fill="14352A"/>
          </w:tcPr>
          <w:p>
            <w:pPr>
              <w:spacing w:before="40" w:after="40"/>
            </w:pPr>
            <w:r>
              <w:rPr>
                <w:b/>
                <w:i w:val="0"/>
                <w:color w:val="FFFFFF"/>
                <w:sz w:val="17"/>
              </w:rPr>
              <w:t>Purpose</w:t>
            </w:r>
          </w:p>
        </w:tc>
        <w:tc>
          <w:tcPr>
            <w:tcW w:type="dxa" w:w="2412"/>
            <w:shd w:val="clear" w:fill="14352A"/>
          </w:tcPr>
          <w:p>
            <w:pPr>
              <w:spacing w:before="40" w:after="40"/>
            </w:pPr>
            <w:r>
              <w:rPr>
                <w:b/>
                <w:i w:val="0"/>
                <w:color w:val="FFFFFF"/>
                <w:sz w:val="17"/>
              </w:rPr>
              <w:t>Owner</w:t>
            </w:r>
          </w:p>
        </w:tc>
        <w:tc>
          <w:tcPr>
            <w:tcW w:type="dxa" w:w="2412"/>
            <w:shd w:val="clear" w:fill="14352A"/>
          </w:tcPr>
          <w:p>
            <w:pPr>
              <w:spacing w:before="40" w:after="40"/>
            </w:pPr>
            <w:r>
              <w:rPr>
                <w:b/>
                <w:i w:val="0"/>
                <w:color w:val="FFFFFF"/>
                <w:sz w:val="17"/>
              </w:rPr>
              <w:t>Approval constraint</w:t>
            </w:r>
          </w:p>
        </w:tc>
      </w:tr>
      <w:tr>
        <w:tc>
          <w:tcPr>
            <w:tcW w:type="dxa" w:w="2412"/>
          </w:tcPr>
          <w:p>
            <w:pPr>
              <w:spacing w:before="40" w:after="40"/>
            </w:pPr>
            <w:r>
              <w:rPr>
                <w:b w:val="0"/>
                <w:i w:val="0"/>
                <w:sz w:val="17"/>
              </w:rPr>
              <w:t>Product brochure (consumer)</w:t>
            </w:r>
          </w:p>
        </w:tc>
        <w:tc>
          <w:tcPr>
            <w:tcW w:type="dxa" w:w="2412"/>
          </w:tcPr>
          <w:p>
            <w:pPr>
              <w:spacing w:before="40" w:after="40"/>
            </w:pPr>
            <w:r>
              <w:rPr>
                <w:b w:val="0"/>
                <w:i w:val="0"/>
                <w:sz w:val="17"/>
              </w:rPr>
              <w:t>The value proposition an advisor leaves behind</w:t>
            </w:r>
          </w:p>
        </w:tc>
        <w:tc>
          <w:tcPr>
            <w:tcW w:type="dxa" w:w="2412"/>
          </w:tcPr>
          <w:p>
            <w:pPr>
              <w:spacing w:before="40" w:after="40"/>
            </w:pPr>
            <w:r>
              <w:rPr>
                <w:b w:val="0"/>
                <w:i w:val="0"/>
                <w:sz w:val="17"/>
              </w:rPr>
              <w:t>Y. Okonjo</w:t>
            </w:r>
          </w:p>
        </w:tc>
        <w:tc>
          <w:tcPr>
            <w:tcW w:type="dxa" w:w="2412"/>
          </w:tcPr>
          <w:p>
            <w:pPr>
              <w:spacing w:before="40" w:after="40"/>
            </w:pPr>
            <w:r>
              <w:rPr>
                <w:b w:val="0"/>
                <w:i w:val="0"/>
                <w:sz w:val="17"/>
              </w:rPr>
              <w:t>Advertising review; filed with forms in most target states</w:t>
            </w:r>
          </w:p>
        </w:tc>
      </w:tr>
      <w:tr>
        <w:tc>
          <w:tcPr>
            <w:tcW w:type="dxa" w:w="2412"/>
          </w:tcPr>
          <w:p>
            <w:pPr>
              <w:spacing w:before="40" w:after="40"/>
            </w:pPr>
            <w:r>
              <w:rPr>
                <w:b w:val="0"/>
                <w:i w:val="0"/>
                <w:sz w:val="17"/>
              </w:rPr>
              <w:t>Advisor product guide</w:t>
            </w:r>
          </w:p>
        </w:tc>
        <w:tc>
          <w:tcPr>
            <w:tcW w:type="dxa" w:w="2412"/>
          </w:tcPr>
          <w:p>
            <w:pPr>
              <w:spacing w:before="40" w:after="40"/>
            </w:pPr>
            <w:r>
              <w:rPr>
                <w:b w:val="0"/>
                <w:i w:val="0"/>
                <w:sz w:val="17"/>
              </w:rPr>
              <w:t>Mechanics, positioning, suitability considerations</w:t>
            </w:r>
          </w:p>
        </w:tc>
        <w:tc>
          <w:tcPr>
            <w:tcW w:type="dxa" w:w="2412"/>
          </w:tcPr>
          <w:p>
            <w:pPr>
              <w:spacing w:before="40" w:after="40"/>
            </w:pPr>
            <w:r>
              <w:rPr>
                <w:b w:val="0"/>
                <w:i w:val="0"/>
                <w:sz w:val="17"/>
              </w:rPr>
              <w:t>Y. Okonjo</w:t>
            </w:r>
          </w:p>
        </w:tc>
        <w:tc>
          <w:tcPr>
            <w:tcW w:type="dxa" w:w="2412"/>
          </w:tcPr>
          <w:p>
            <w:pPr>
              <w:spacing w:before="40" w:after="40"/>
            </w:pPr>
            <w:r>
              <w:rPr>
                <w:b w:val="0"/>
                <w:i w:val="0"/>
                <w:sz w:val="17"/>
              </w:rPr>
              <w:t>Compliance review; must match filed contract language exactly</w:t>
            </w:r>
          </w:p>
        </w:tc>
      </w:tr>
      <w:tr>
        <w:tc>
          <w:tcPr>
            <w:tcW w:type="dxa" w:w="2412"/>
          </w:tcPr>
          <w:p>
            <w:pPr>
              <w:spacing w:before="40" w:after="40"/>
            </w:pPr>
            <w:r>
              <w:rPr>
                <w:b w:val="0"/>
                <w:i w:val="0"/>
                <w:sz w:val="17"/>
              </w:rPr>
              <w:t>Hypothetical illustrations</w:t>
            </w:r>
          </w:p>
        </w:tc>
        <w:tc>
          <w:tcPr>
            <w:tcW w:type="dxa" w:w="2412"/>
          </w:tcPr>
          <w:p>
            <w:pPr>
              <w:spacing w:before="40" w:after="40"/>
            </w:pPr>
            <w:r>
              <w:rPr>
                <w:b w:val="0"/>
                <w:i w:val="0"/>
                <w:sz w:val="17"/>
              </w:rPr>
              <w:t>What the product would have done historically</w:t>
            </w:r>
          </w:p>
        </w:tc>
        <w:tc>
          <w:tcPr>
            <w:tcW w:type="dxa" w:w="2412"/>
          </w:tcPr>
          <w:p>
            <w:pPr>
              <w:spacing w:before="40" w:after="40"/>
            </w:pPr>
            <w:r>
              <w:rPr>
                <w:b w:val="0"/>
                <w:i w:val="0"/>
                <w:sz w:val="17"/>
              </w:rPr>
              <w:t>E. Kowalczyk</w:t>
            </w:r>
          </w:p>
        </w:tc>
        <w:tc>
          <w:tcPr>
            <w:tcW w:type="dxa" w:w="2412"/>
          </w:tcPr>
          <w:p>
            <w:pPr>
              <w:spacing w:before="40" w:after="40"/>
            </w:pPr>
            <w:r>
              <w:rPr>
                <w:b w:val="0"/>
                <w:i w:val="0"/>
                <w:sz w:val="17"/>
              </w:rPr>
              <w:t xml:space="preserve">Must reconcile to the </w:t>
            </w:r>
            <w:r>
              <w:rPr>
                <w:b w:val="0"/>
                <w:i/>
                <w:sz w:val="17"/>
              </w:rPr>
              <w:t>filed</w:t>
            </w:r>
            <w:r>
              <w:rPr>
                <w:b w:val="0"/>
                <w:i w:val="0"/>
                <w:sz w:val="17"/>
              </w:rPr>
              <w:t xml:space="preserve"> methodology — see below</w:t>
            </w:r>
          </w:p>
        </w:tc>
      </w:tr>
      <w:tr>
        <w:tc>
          <w:tcPr>
            <w:tcW w:type="dxa" w:w="2412"/>
          </w:tcPr>
          <w:p>
            <w:pPr>
              <w:spacing w:before="40" w:after="40"/>
            </w:pPr>
            <w:r>
              <w:rPr>
                <w:b w:val="0"/>
                <w:i w:val="0"/>
                <w:sz w:val="17"/>
              </w:rPr>
              <w:t>Rate and cap sheet</w:t>
            </w:r>
          </w:p>
        </w:tc>
        <w:tc>
          <w:tcPr>
            <w:tcW w:type="dxa" w:w="2412"/>
          </w:tcPr>
          <w:p>
            <w:pPr>
              <w:spacing w:before="40" w:after="40"/>
            </w:pPr>
            <w:r>
              <w:rPr>
                <w:b w:val="0"/>
                <w:i w:val="0"/>
                <w:sz w:val="17"/>
              </w:rPr>
              <w:t>Current declared cap and crediting terms</w:t>
            </w:r>
          </w:p>
        </w:tc>
        <w:tc>
          <w:tcPr>
            <w:tcW w:type="dxa" w:w="2412"/>
          </w:tcPr>
          <w:p>
            <w:pPr>
              <w:spacing w:before="40" w:after="40"/>
            </w:pPr>
            <w:r>
              <w:rPr>
                <w:b w:val="0"/>
                <w:i w:val="0"/>
                <w:sz w:val="17"/>
              </w:rPr>
              <w:t>D. Falkner</w:t>
            </w:r>
          </w:p>
        </w:tc>
        <w:tc>
          <w:tcPr>
            <w:tcW w:type="dxa" w:w="2412"/>
          </w:tcPr>
          <w:p>
            <w:pPr>
              <w:spacing w:before="40" w:after="40"/>
            </w:pPr>
            <w:r>
              <w:rPr>
                <w:b w:val="0"/>
                <w:i w:val="0"/>
                <w:sz w:val="17"/>
              </w:rPr>
              <w:t>Reissued on every rate declaration; cannot be static</w:t>
            </w:r>
          </w:p>
        </w:tc>
      </w:tr>
      <w:tr>
        <w:tc>
          <w:tcPr>
            <w:tcW w:type="dxa" w:w="2412"/>
          </w:tcPr>
          <w:p>
            <w:pPr>
              <w:spacing w:before="40" w:after="40"/>
            </w:pPr>
            <w:r>
              <w:rPr>
                <w:b w:val="0"/>
                <w:i w:val="0"/>
                <w:sz w:val="17"/>
              </w:rPr>
              <w:t>Training curriculum</w:t>
            </w:r>
          </w:p>
        </w:tc>
        <w:tc>
          <w:tcPr>
            <w:tcW w:type="dxa" w:w="2412"/>
          </w:tcPr>
          <w:p>
            <w:pPr>
              <w:spacing w:before="40" w:after="40"/>
            </w:pPr>
            <w:r>
              <w:rPr>
                <w:b w:val="0"/>
                <w:i w:val="0"/>
                <w:sz w:val="17"/>
              </w:rPr>
              <w:t>Product certification under Model Reg #275</w:t>
            </w:r>
          </w:p>
        </w:tc>
        <w:tc>
          <w:tcPr>
            <w:tcW w:type="dxa" w:w="2412"/>
          </w:tcPr>
          <w:p>
            <w:pPr>
              <w:spacing w:before="40" w:after="40"/>
            </w:pPr>
            <w:r>
              <w:rPr>
                <w:b w:val="0"/>
                <w:i w:val="0"/>
                <w:sz w:val="17"/>
              </w:rPr>
              <w:t>Y. Okonjo</w:t>
            </w:r>
          </w:p>
        </w:tc>
        <w:tc>
          <w:tcPr>
            <w:tcW w:type="dxa" w:w="2412"/>
          </w:tcPr>
          <w:p>
            <w:pPr>
              <w:spacing w:before="40" w:after="40"/>
            </w:pPr>
            <w:r>
              <w:rPr>
                <w:b w:val="0"/>
                <w:i w:val="0"/>
                <w:sz w:val="17"/>
              </w:rPr>
              <w:t>Content locked to approved forms; state-variable</w:t>
            </w:r>
          </w:p>
        </w:tc>
      </w:tr>
      <w:tr>
        <w:tc>
          <w:tcPr>
            <w:tcW w:type="dxa" w:w="2412"/>
          </w:tcPr>
          <w:p>
            <w:pPr>
              <w:spacing w:before="40" w:after="40"/>
            </w:pPr>
            <w:r>
              <w:rPr>
                <w:b w:val="0"/>
                <w:i w:val="0"/>
                <w:sz w:val="17"/>
              </w:rPr>
              <w:t>IMO co-branded material</w:t>
            </w:r>
          </w:p>
        </w:tc>
        <w:tc>
          <w:tcPr>
            <w:tcW w:type="dxa" w:w="2412"/>
          </w:tcPr>
          <w:p>
            <w:pPr>
              <w:spacing w:before="40" w:after="40"/>
            </w:pPr>
            <w:r>
              <w:rPr>
                <w:b w:val="0"/>
                <w:i w:val="0"/>
                <w:sz w:val="17"/>
              </w:rPr>
              <w:t>Partner-fronted campaigns</w:t>
            </w:r>
          </w:p>
        </w:tc>
        <w:tc>
          <w:tcPr>
            <w:tcW w:type="dxa" w:w="2412"/>
          </w:tcPr>
          <w:p>
            <w:pPr>
              <w:spacing w:before="40" w:after="40"/>
            </w:pPr>
            <w:r>
              <w:rPr>
                <w:b w:val="0"/>
                <w:i w:val="0"/>
                <w:sz w:val="17"/>
              </w:rPr>
              <w:t>R. Shackleton</w:t>
            </w:r>
          </w:p>
        </w:tc>
        <w:tc>
          <w:tcPr>
            <w:tcW w:type="dxa" w:w="2412"/>
          </w:tcPr>
          <w:p>
            <w:pPr>
              <w:spacing w:before="40" w:after="40"/>
            </w:pPr>
            <w:r>
              <w:rPr>
                <w:b w:val="0"/>
                <w:i w:val="0"/>
                <w:sz w:val="17"/>
              </w:rPr>
              <w:t>Carrier review of partner-produced material before use</w:t>
            </w:r>
          </w:p>
        </w:tc>
      </w:tr>
    </w:tbl>
    <w:p/>
    <w:p>
      <w:pPr>
        <w:spacing w:before="200" w:after="80"/>
      </w:pPr>
      <w:r>
        <w:rPr>
          <w:b/>
          <w:i w:val="0"/>
          <w:color w:val="14352A"/>
          <w:sz w:val="24"/>
        </w:rPr>
        <w:t>7.1 The illustration constraint</w:t>
      </w:r>
    </w:p>
    <w:p>
      <w:pPr>
        <w:spacing w:after="120"/>
      </w:pPr>
      <w:r>
        <w:rPr>
          <w:b w:val="0"/>
          <w:i w:val="0"/>
          <w:sz w:val="20"/>
        </w:rPr>
        <w:t xml:space="preserve">Illustrations are produced by the illustration and quoting engine and are the single most compliance-sensitive artifact in the enablement set. The Master Test &amp; Validation Strategy states the governing rule: illustration output reconciles to the </w:t>
      </w:r>
      <w:r>
        <w:rPr>
          <w:b/>
          <w:i w:val="0"/>
          <w:sz w:val="20"/>
        </w:rPr>
        <w:t>filed</w:t>
      </w:r>
      <w:r>
        <w:rPr>
          <w:b w:val="0"/>
          <w:i w:val="0"/>
          <w:sz w:val="20"/>
        </w:rPr>
        <w:t xml:space="preserve"> methodology, and where the model and the filing disagree, </w:t>
      </w:r>
      <w:r>
        <w:rPr>
          <w:b/>
          <w:i w:val="0"/>
          <w:sz w:val="20"/>
        </w:rPr>
        <w:t>the filing wins</w:t>
      </w:r>
      <w:r>
        <w:rPr>
          <w:b w:val="0"/>
          <w:i w:val="0"/>
          <w:sz w:val="20"/>
        </w:rPr>
        <w:t>. Enablement inherits that rule without modification. An illustration that is arithmetically defensible but does not match the filed methodology is a market-conduct exposure, not a marketing preference — and it cannot be corrected by the program alone, because correcting it may mean re-filing.</w:t>
      </w:r>
    </w:p>
    <w:p>
      <w:pPr>
        <w:spacing w:before="200" w:after="80"/>
      </w:pPr>
      <w:r>
        <w:rPr>
          <w:b/>
          <w:i w:val="0"/>
          <w:color w:val="14352A"/>
          <w:sz w:val="24"/>
        </w:rPr>
        <w:t>7.2 Competitive positioning and its fragility</w:t>
      </w:r>
    </w:p>
    <w:p>
      <w:pPr>
        <w:spacing w:after="120"/>
      </w:pPr>
      <w:r>
        <w:rPr>
          <w:b w:val="0"/>
          <w:i w:val="0"/>
          <w:sz w:val="20"/>
        </w:rPr>
        <w:t xml:space="preserve">The illustrated cap on the one-year point-to-point strategy is </w:t>
      </w:r>
      <w:r>
        <w:rPr>
          <w:b/>
          <w:i w:val="0"/>
          <w:sz w:val="20"/>
        </w:rPr>
        <w:t>9.25%</w:t>
      </w:r>
      <w:r>
        <w:rPr>
          <w:b w:val="0"/>
          <w:i w:val="0"/>
          <w:sz w:val="20"/>
        </w:rPr>
        <w:t xml:space="preserve"> against a peer benchmark of </w:t>
      </w:r>
      <w:r>
        <w:rPr>
          <w:b/>
          <w:i w:val="0"/>
          <w:sz w:val="20"/>
        </w:rPr>
        <w:t>9.00%</w:t>
      </w:r>
      <w:r>
        <w:rPr>
          <w:b w:val="0"/>
          <w:i w:val="0"/>
          <w:sz w:val="20"/>
        </w:rPr>
        <w:t xml:space="preserve">, with a competitive floor of </w:t>
      </w:r>
      <w:r>
        <w:rPr>
          <w:b/>
          <w:i w:val="0"/>
          <w:sz w:val="20"/>
        </w:rPr>
        <w:t>8.50%</w:t>
      </w:r>
      <w:r>
        <w:rPr>
          <w:b w:val="0"/>
          <w:i w:val="0"/>
          <w:sz w:val="20"/>
        </w:rPr>
        <w:t xml:space="preserve"> fixed at Gate 1. Every piece of advisor-facing material is built on that positioning. Risk </w:t>
      </w:r>
      <w:r>
        <w:rPr>
          <w:b/>
          <w:i w:val="0"/>
          <w:sz w:val="20"/>
        </w:rPr>
        <w:t>R-03</w:t>
      </w:r>
      <w:r>
        <w:rPr>
          <w:b w:val="0"/>
          <w:i w:val="0"/>
          <w:sz w:val="20"/>
        </w:rPr>
        <w:t xml:space="preserve"> holds that the option budget could compress and push the illustrated cap toward the floor; if that happens, the material set is not merely stale, it is arguing a position the product no longer occupies. Material design must therefore avoid hard-coding the cap into the value proposition — the rate sheet carries the number, the brochure carries the structure.</w:t>
      </w:r>
    </w:p>
    <w:p>
      <w:pPr>
        <w:spacing w:before="280" w:after="80"/>
      </w:pPr>
      <w:r>
        <w:rPr>
          <w:b/>
          <w:i w:val="0"/>
          <w:color w:val="14352A"/>
          <w:sz w:val="28"/>
        </w:rPr>
        <w:t>8. Launch Marketing &amp; the Enablement Budget</w:t>
      </w:r>
    </w:p>
    <w:p>
      <w:pPr>
        <w:spacing w:after="120"/>
      </w:pPr>
      <w:r>
        <w:rPr>
          <w:b w:val="0"/>
          <w:i w:val="0"/>
          <w:sz w:val="20"/>
        </w:rPr>
        <w:t xml:space="preserve">Distribution enablement, wholesaler training and launch marketing are funded at </w:t>
      </w:r>
      <w:r>
        <w:rPr>
          <w:b/>
          <w:i w:val="0"/>
          <w:sz w:val="20"/>
        </w:rPr>
        <w:t>$1,540,000</w:t>
      </w:r>
      <w:r>
        <w:rPr>
          <w:b w:val="0"/>
          <w:i w:val="0"/>
          <w:sz w:val="20"/>
        </w:rPr>
        <w:t xml:space="preserve"> — a single non-labor line in the program budget, decomposed here. This is 20% of program non-labor spend and 5.5% of the $27,904,000 authorized program cost.</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Allocation</w:t>
            </w:r>
          </w:p>
        </w:tc>
        <w:tc>
          <w:tcPr>
            <w:tcW w:type="dxa" w:w="3216"/>
            <w:shd w:val="clear" w:fill="14352A"/>
          </w:tcPr>
          <w:p>
            <w:pPr>
              <w:spacing w:before="40" w:after="40"/>
            </w:pPr>
            <w:r>
              <w:rPr>
                <w:b/>
                <w:i w:val="0"/>
                <w:color w:val="FFFFFF"/>
                <w:sz w:val="17"/>
              </w:rPr>
              <w:t>Amount</w:t>
            </w:r>
          </w:p>
        </w:tc>
        <w:tc>
          <w:tcPr>
            <w:tcW w:type="dxa" w:w="3216"/>
            <w:shd w:val="clear" w:fill="14352A"/>
          </w:tcPr>
          <w:p>
            <w:pPr>
              <w:spacing w:before="40" w:after="40"/>
            </w:pPr>
            <w:r>
              <w:rPr>
                <w:b/>
                <w:i w:val="0"/>
                <w:color w:val="FFFFFF"/>
                <w:sz w:val="17"/>
              </w:rPr>
              <w:t>Share</w:t>
            </w:r>
          </w:p>
        </w:tc>
      </w:tr>
      <w:tr>
        <w:tc>
          <w:tcPr>
            <w:tcW w:type="dxa" w:w="3216"/>
          </w:tcPr>
          <w:p>
            <w:pPr>
              <w:spacing w:before="40" w:after="40"/>
            </w:pPr>
            <w:r>
              <w:rPr>
                <w:b w:val="0"/>
                <w:i w:val="0"/>
                <w:sz w:val="17"/>
              </w:rPr>
              <w:t>Wholesaler field enablement — territory launch meetings and IMO roadshows</w:t>
            </w:r>
          </w:p>
        </w:tc>
        <w:tc>
          <w:tcPr>
            <w:tcW w:type="dxa" w:w="3216"/>
          </w:tcPr>
          <w:p>
            <w:pPr>
              <w:spacing w:before="40" w:after="40"/>
            </w:pPr>
            <w:r>
              <w:rPr>
                <w:b w:val="0"/>
                <w:i w:val="0"/>
                <w:sz w:val="17"/>
              </w:rPr>
              <w:t>$385,000</w:t>
            </w:r>
          </w:p>
        </w:tc>
        <w:tc>
          <w:tcPr>
            <w:tcW w:type="dxa" w:w="3216"/>
          </w:tcPr>
          <w:p>
            <w:pPr>
              <w:spacing w:before="40" w:after="40"/>
            </w:pPr>
            <w:r>
              <w:rPr>
                <w:b w:val="0"/>
                <w:i w:val="0"/>
                <w:sz w:val="17"/>
              </w:rPr>
              <w:t>25%</w:t>
            </w:r>
          </w:p>
        </w:tc>
      </w:tr>
      <w:tr>
        <w:tc>
          <w:tcPr>
            <w:tcW w:type="dxa" w:w="3216"/>
          </w:tcPr>
          <w:p>
            <w:pPr>
              <w:spacing w:before="40" w:after="40"/>
            </w:pPr>
            <w:r>
              <w:rPr>
                <w:b w:val="0"/>
                <w:i w:val="0"/>
                <w:sz w:val="17"/>
              </w:rPr>
              <w:t>Launch marketing — digital campaign, co-branded IMO programs, trade placement</w:t>
            </w:r>
          </w:p>
        </w:tc>
        <w:tc>
          <w:tcPr>
            <w:tcW w:type="dxa" w:w="3216"/>
          </w:tcPr>
          <w:p>
            <w:pPr>
              <w:spacing w:before="40" w:after="40"/>
            </w:pPr>
            <w:r>
              <w:rPr>
                <w:b w:val="0"/>
                <w:i w:val="0"/>
                <w:sz w:val="17"/>
              </w:rPr>
              <w:t>$340,000</w:t>
            </w:r>
          </w:p>
        </w:tc>
        <w:tc>
          <w:tcPr>
            <w:tcW w:type="dxa" w:w="3216"/>
          </w:tcPr>
          <w:p>
            <w:pPr>
              <w:spacing w:before="40" w:after="40"/>
            </w:pPr>
            <w:r>
              <w:rPr>
                <w:b w:val="0"/>
                <w:i w:val="0"/>
                <w:sz w:val="17"/>
              </w:rPr>
              <w:t>22%</w:t>
            </w:r>
          </w:p>
        </w:tc>
      </w:tr>
      <w:tr>
        <w:tc>
          <w:tcPr>
            <w:tcW w:type="dxa" w:w="3216"/>
          </w:tcPr>
          <w:p>
            <w:pPr>
              <w:spacing w:before="40" w:after="40"/>
            </w:pPr>
            <w:r>
              <w:rPr>
                <w:b w:val="0"/>
                <w:i w:val="0"/>
                <w:sz w:val="17"/>
              </w:rPr>
              <w:t>Advisor product training — curriculum build, delivery platform, certification tracking</w:t>
            </w:r>
          </w:p>
        </w:tc>
        <w:tc>
          <w:tcPr>
            <w:tcW w:type="dxa" w:w="3216"/>
          </w:tcPr>
          <w:p>
            <w:pPr>
              <w:spacing w:before="40" w:after="40"/>
            </w:pPr>
            <w:r>
              <w:rPr>
                <w:b w:val="0"/>
                <w:i w:val="0"/>
                <w:sz w:val="17"/>
              </w:rPr>
              <w:t>$300,000</w:t>
            </w:r>
          </w:p>
        </w:tc>
        <w:tc>
          <w:tcPr>
            <w:tcW w:type="dxa" w:w="3216"/>
          </w:tcPr>
          <w:p>
            <w:pPr>
              <w:spacing w:before="40" w:after="40"/>
            </w:pPr>
            <w:r>
              <w:rPr>
                <w:b w:val="0"/>
                <w:i w:val="0"/>
                <w:sz w:val="17"/>
              </w:rPr>
              <w:t>19%</w:t>
            </w:r>
          </w:p>
        </w:tc>
      </w:tr>
      <w:tr>
        <w:tc>
          <w:tcPr>
            <w:tcW w:type="dxa" w:w="3216"/>
          </w:tcPr>
          <w:p>
            <w:pPr>
              <w:spacing w:before="40" w:after="40"/>
            </w:pPr>
            <w:r>
              <w:rPr>
                <w:b w:val="0"/>
                <w:i w:val="0"/>
                <w:sz w:val="17"/>
              </w:rPr>
              <w:t>Sales literature, illustration collateral and compliance review cycles</w:t>
            </w:r>
          </w:p>
        </w:tc>
        <w:tc>
          <w:tcPr>
            <w:tcW w:type="dxa" w:w="3216"/>
          </w:tcPr>
          <w:p>
            <w:pPr>
              <w:spacing w:before="40" w:after="40"/>
            </w:pPr>
            <w:r>
              <w:rPr>
                <w:b w:val="0"/>
                <w:i w:val="0"/>
                <w:sz w:val="17"/>
              </w:rPr>
              <w:t>$265,000</w:t>
            </w:r>
          </w:p>
        </w:tc>
        <w:tc>
          <w:tcPr>
            <w:tcW w:type="dxa" w:w="3216"/>
          </w:tcPr>
          <w:p>
            <w:pPr>
              <w:spacing w:before="40" w:after="40"/>
            </w:pPr>
            <w:r>
              <w:rPr>
                <w:b w:val="0"/>
                <w:i w:val="0"/>
                <w:sz w:val="17"/>
              </w:rPr>
              <w:t>17%</w:t>
            </w:r>
          </w:p>
        </w:tc>
      </w:tr>
      <w:tr>
        <w:tc>
          <w:tcPr>
            <w:tcW w:type="dxa" w:w="3216"/>
          </w:tcPr>
          <w:p>
            <w:pPr>
              <w:spacing w:before="40" w:after="40"/>
            </w:pPr>
            <w:r>
              <w:rPr>
                <w:b w:val="0"/>
                <w:i w:val="0"/>
                <w:sz w:val="17"/>
              </w:rPr>
              <w:t>Producer appointment and contracting operations — onboarding throughput</w:t>
            </w:r>
          </w:p>
        </w:tc>
        <w:tc>
          <w:tcPr>
            <w:tcW w:type="dxa" w:w="3216"/>
          </w:tcPr>
          <w:p>
            <w:pPr>
              <w:spacing w:before="40" w:after="40"/>
            </w:pPr>
            <w:r>
              <w:rPr>
                <w:b w:val="0"/>
                <w:i w:val="0"/>
                <w:sz w:val="17"/>
              </w:rPr>
              <w:t>$155,000</w:t>
            </w:r>
          </w:p>
        </w:tc>
        <w:tc>
          <w:tcPr>
            <w:tcW w:type="dxa" w:w="3216"/>
          </w:tcPr>
          <w:p>
            <w:pPr>
              <w:spacing w:before="40" w:after="40"/>
            </w:pPr>
            <w:r>
              <w:rPr>
                <w:b w:val="0"/>
                <w:i w:val="0"/>
                <w:sz w:val="17"/>
              </w:rPr>
              <w:t>10%</w:t>
            </w:r>
          </w:p>
        </w:tc>
      </w:tr>
      <w:tr>
        <w:tc>
          <w:tcPr>
            <w:tcW w:type="dxa" w:w="3216"/>
          </w:tcPr>
          <w:p>
            <w:pPr>
              <w:spacing w:before="40" w:after="40"/>
            </w:pPr>
            <w:r>
              <w:rPr>
                <w:b w:val="0"/>
                <w:i w:val="0"/>
                <w:sz w:val="17"/>
              </w:rPr>
              <w:t>Channel analytics, CRM configuration and enablement measurement</w:t>
            </w:r>
          </w:p>
        </w:tc>
        <w:tc>
          <w:tcPr>
            <w:tcW w:type="dxa" w:w="3216"/>
          </w:tcPr>
          <w:p>
            <w:pPr>
              <w:spacing w:before="40" w:after="40"/>
            </w:pPr>
            <w:r>
              <w:rPr>
                <w:b w:val="0"/>
                <w:i w:val="0"/>
                <w:sz w:val="17"/>
              </w:rPr>
              <w:t>$95,000</w:t>
            </w:r>
          </w:p>
        </w:tc>
        <w:tc>
          <w:tcPr>
            <w:tcW w:type="dxa" w:w="3216"/>
          </w:tcPr>
          <w:p>
            <w:pPr>
              <w:spacing w:before="40" w:after="40"/>
            </w:pPr>
            <w:r>
              <w:rPr>
                <w:b w:val="0"/>
                <w:i w:val="0"/>
                <w:sz w:val="17"/>
              </w:rPr>
              <w:t>6%</w:t>
            </w:r>
          </w:p>
        </w:tc>
      </w:tr>
      <w:tr>
        <w:tc>
          <w:tcPr>
            <w:tcW w:type="dxa" w:w="3216"/>
          </w:tcPr>
          <w:p>
            <w:pPr>
              <w:spacing w:before="40" w:after="40"/>
            </w:pPr>
            <w:r>
              <w:rPr>
                <w:b/>
                <w:i w:val="0"/>
                <w:sz w:val="17"/>
              </w:rPr>
              <w:t>Total</w:t>
            </w:r>
          </w:p>
        </w:tc>
        <w:tc>
          <w:tcPr>
            <w:tcW w:type="dxa" w:w="3216"/>
          </w:tcPr>
          <w:p>
            <w:pPr>
              <w:spacing w:before="40" w:after="40"/>
            </w:pPr>
            <w:r>
              <w:rPr>
                <w:b/>
                <w:i w:val="0"/>
                <w:sz w:val="17"/>
              </w:rPr>
              <w:t>$1,540,000</w:t>
            </w:r>
          </w:p>
        </w:tc>
        <w:tc>
          <w:tcPr>
            <w:tcW w:type="dxa" w:w="3216"/>
          </w:tcPr>
          <w:p>
            <w:pPr>
              <w:spacing w:before="40" w:after="40"/>
            </w:pPr>
            <w:r>
              <w:rPr>
                <w:b/>
                <w:i w:val="0"/>
                <w:sz w:val="17"/>
              </w:rPr>
              <w:t>100%</w:t>
            </w:r>
          </w:p>
        </w:tc>
      </w:tr>
    </w:tbl>
    <w:p/>
    <w:p>
      <w:pPr>
        <w:spacing w:after="120"/>
      </w:pPr>
      <w:r>
        <w:rPr>
          <w:b w:val="0"/>
          <w:i w:val="0"/>
          <w:sz w:val="20"/>
        </w:rPr>
        <w:t xml:space="preserve">The largest single allocation is field enablement rather than marketing, which is deliberate. In an independent distribution model the program is not selling to consumers; it is competing for the attention of advisors who already have a shelf of annuity products they know how to sell. That competition is won in wholesaler meetings and lost in silence, which is also precisely what risk </w:t>
      </w:r>
      <w:r>
        <w:rPr>
          <w:b/>
          <w:i w:val="0"/>
          <w:sz w:val="20"/>
        </w:rPr>
        <w:t>R-07</w:t>
      </w:r>
      <w:r>
        <w:rPr>
          <w:b w:val="0"/>
          <w:i w:val="0"/>
          <w:sz w:val="20"/>
        </w:rPr>
        <w:t xml:space="preserve"> describes.</w:t>
      </w:r>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The enablement budget sits inside Stage 4 funding, which is not released.</w:t>
            </w:r>
            <w:r>
              <w:rPr>
                <w:b w:val="0"/>
                <w:i w:val="0"/>
                <w:sz w:val="20"/>
              </w:rPr>
              <w:t xml:space="preserve"> The program is authorized at $27,904,000 in four stage tranches; Stages 1 and 2 are released. The bulk of enablement and marketing spend falls in Stage 4, whose $4,330,000 tranche is released only on a Gate 4 decision on 24 Feb 2028 — </w:t>
            </w:r>
            <w:r>
              <w:rPr>
                <w:b/>
                <w:i w:val="0"/>
                <w:sz w:val="20"/>
              </w:rPr>
              <w:t>11 days before launch</w:t>
            </w:r>
            <w:r>
              <w:rPr>
                <w:b w:val="0"/>
                <w:i w:val="0"/>
                <w:sz w:val="20"/>
              </w:rPr>
              <w:t xml:space="preserve">. Committed marketing spend ahead of that release is spend against money the board has not authorized. Long-lead enablement commitments requiring earlier funding are raised as an explicit early-release request at Gate 3, not incurred and reconciled afterward. </w:t>
            </w:r>
          </w:p>
        </w:tc>
      </w:tr>
    </w:tbl>
    <w:p/>
    <w:p>
      <w:pPr>
        <w:spacing w:before="280" w:after="80"/>
      </w:pPr>
      <w:r>
        <w:rPr>
          <w:b/>
          <w:i w:val="0"/>
          <w:color w:val="14352A"/>
          <w:sz w:val="28"/>
        </w:rPr>
        <w:t>9. Enablement Sequencing Against the Filing Plan</w:t>
      </w:r>
    </w:p>
    <w:p>
      <w:pPr>
        <w:spacing w:after="120"/>
      </w:pPr>
      <w:r>
        <w:rPr>
          <w:b w:val="0"/>
          <w:i w:val="0"/>
          <w:sz w:val="20"/>
        </w:rPr>
        <w:t xml:space="preserve">The sequencing constraint from Section 1.3 has a date attached to it. Product certification content cannot be finalized until forms are approved, and approval is confirmed at </w:t>
      </w:r>
      <w:r>
        <w:rPr>
          <w:b/>
          <w:i w:val="0"/>
          <w:sz w:val="20"/>
        </w:rPr>
        <w:t>Gate 3 — Validation &amp; Filing Approval</w:t>
      </w:r>
      <w:r>
        <w:rPr>
          <w:b w:val="0"/>
          <w:i w:val="0"/>
          <w:sz w:val="20"/>
        </w:rPr>
        <w:t xml:space="preserve"> on </w:t>
      </w:r>
      <w:r>
        <w:rPr>
          <w:b/>
          <w:i w:val="0"/>
          <w:sz w:val="20"/>
        </w:rPr>
        <w:t>28 Oct 2027</w:t>
      </w:r>
      <w:r>
        <w:rPr>
          <w:b w:val="0"/>
          <w:i w:val="0"/>
          <w:sz w:val="20"/>
        </w:rPr>
        <w:t xml:space="preserve">. Launch is </w:t>
      </w:r>
      <w:r>
        <w:rPr>
          <w:b/>
          <w:i w:val="0"/>
          <w:sz w:val="20"/>
        </w:rPr>
        <w:t>06 Mar 2028</w:t>
      </w:r>
      <w:r>
        <w:rPr>
          <w:b w:val="0"/>
          <w:i w:val="0"/>
          <w:sz w:val="20"/>
        </w:rPr>
        <w:t xml:space="preserve">. That leaves roughly </w:t>
      </w:r>
      <w:r>
        <w:rPr>
          <w:b/>
          <w:i w:val="0"/>
          <w:sz w:val="20"/>
        </w:rPr>
        <w:t>19 weeks</w:t>
      </w:r>
      <w:r>
        <w:rPr>
          <w:b w:val="0"/>
          <w:i w:val="0"/>
          <w:sz w:val="20"/>
        </w:rPr>
        <w:t xml:space="preserve"> to certify the producer base.</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Enablement activity</w:t>
            </w:r>
          </w:p>
        </w:tc>
        <w:tc>
          <w:tcPr>
            <w:tcW w:type="dxa" w:w="3216"/>
            <w:shd w:val="clear" w:fill="14352A"/>
          </w:tcPr>
          <w:p>
            <w:pPr>
              <w:spacing w:before="40" w:after="40"/>
            </w:pPr>
            <w:r>
              <w:rPr>
                <w:b/>
                <w:i w:val="0"/>
                <w:color w:val="FFFFFF"/>
                <w:sz w:val="17"/>
              </w:rPr>
              <w:t>Earliest start</w:t>
            </w:r>
          </w:p>
        </w:tc>
        <w:tc>
          <w:tcPr>
            <w:tcW w:type="dxa" w:w="3216"/>
            <w:shd w:val="clear" w:fill="14352A"/>
          </w:tcPr>
          <w:p>
            <w:pPr>
              <w:spacing w:before="40" w:after="40"/>
            </w:pPr>
            <w:r>
              <w:rPr>
                <w:b/>
                <w:i w:val="0"/>
                <w:color w:val="FFFFFF"/>
                <w:sz w:val="17"/>
              </w:rPr>
              <w:t>Gated by</w:t>
            </w:r>
          </w:p>
        </w:tc>
      </w:tr>
      <w:tr>
        <w:tc>
          <w:tcPr>
            <w:tcW w:type="dxa" w:w="3216"/>
          </w:tcPr>
          <w:p>
            <w:pPr>
              <w:spacing w:before="40" w:after="40"/>
            </w:pPr>
            <w:r>
              <w:rPr>
                <w:b w:val="0"/>
                <w:i w:val="0"/>
                <w:sz w:val="17"/>
              </w:rPr>
              <w:t>Partner commitment maintenance and expansion</w:t>
            </w:r>
          </w:p>
        </w:tc>
        <w:tc>
          <w:tcPr>
            <w:tcW w:type="dxa" w:w="3216"/>
          </w:tcPr>
          <w:p>
            <w:pPr>
              <w:spacing w:before="40" w:after="40"/>
            </w:pPr>
            <w:r>
              <w:rPr>
                <w:b w:val="0"/>
                <w:i w:val="0"/>
                <w:sz w:val="17"/>
              </w:rPr>
              <w:t>Now — continuous</w:t>
            </w:r>
          </w:p>
        </w:tc>
        <w:tc>
          <w:tcPr>
            <w:tcW w:type="dxa" w:w="3216"/>
          </w:tcPr>
          <w:p>
            <w:pPr>
              <w:spacing w:before="40" w:after="40"/>
            </w:pPr>
            <w:r>
              <w:rPr>
                <w:b w:val="0"/>
                <w:i w:val="0"/>
                <w:sz w:val="17"/>
              </w:rPr>
              <w:t>Nothing; runs throughout</w:t>
            </w:r>
          </w:p>
        </w:tc>
      </w:tr>
      <w:tr>
        <w:tc>
          <w:tcPr>
            <w:tcW w:type="dxa" w:w="3216"/>
          </w:tcPr>
          <w:p>
            <w:pPr>
              <w:spacing w:before="40" w:after="40"/>
            </w:pPr>
            <w:r>
              <w:rPr>
                <w:b w:val="0"/>
                <w:i w:val="0"/>
                <w:sz w:val="17"/>
              </w:rPr>
              <w:t>Carrier appointment and contracting</w:t>
            </w:r>
          </w:p>
        </w:tc>
        <w:tc>
          <w:tcPr>
            <w:tcW w:type="dxa" w:w="3216"/>
          </w:tcPr>
          <w:p>
            <w:pPr>
              <w:spacing w:before="40" w:after="40"/>
            </w:pPr>
            <w:r>
              <w:rPr>
                <w:b w:val="0"/>
                <w:i w:val="0"/>
                <w:sz w:val="17"/>
              </w:rPr>
              <w:t>Now — ahead of approval</w:t>
            </w:r>
          </w:p>
        </w:tc>
        <w:tc>
          <w:tcPr>
            <w:tcW w:type="dxa" w:w="3216"/>
          </w:tcPr>
          <w:p>
            <w:pPr>
              <w:spacing w:before="40" w:after="40"/>
            </w:pPr>
            <w:r>
              <w:rPr>
                <w:b w:val="0"/>
                <w:i w:val="0"/>
                <w:sz w:val="17"/>
              </w:rPr>
              <w:t>Nothing at carrier level</w:t>
            </w:r>
          </w:p>
        </w:tc>
      </w:tr>
      <w:tr>
        <w:tc>
          <w:tcPr>
            <w:tcW w:type="dxa" w:w="3216"/>
          </w:tcPr>
          <w:p>
            <w:pPr>
              <w:spacing w:before="40" w:after="40"/>
            </w:pPr>
            <w:r>
              <w:rPr>
                <w:b w:val="0"/>
                <w:i w:val="0"/>
                <w:sz w:val="17"/>
              </w:rPr>
              <w:t>Wholesaler recruitment and territory design</w:t>
            </w:r>
          </w:p>
        </w:tc>
        <w:tc>
          <w:tcPr>
            <w:tcW w:type="dxa" w:w="3216"/>
          </w:tcPr>
          <w:p>
            <w:pPr>
              <w:spacing w:before="40" w:after="40"/>
            </w:pPr>
            <w:r>
              <w:rPr>
                <w:b w:val="0"/>
                <w:i w:val="0"/>
                <w:sz w:val="17"/>
              </w:rPr>
              <w:t>Stage 3</w:t>
            </w:r>
          </w:p>
        </w:tc>
        <w:tc>
          <w:tcPr>
            <w:tcW w:type="dxa" w:w="3216"/>
          </w:tcPr>
          <w:p>
            <w:pPr>
              <w:spacing w:before="40" w:after="40"/>
            </w:pPr>
            <w:r>
              <w:rPr>
                <w:b w:val="0"/>
                <w:i w:val="0"/>
                <w:sz w:val="17"/>
              </w:rPr>
              <w:t>Headcount (I-06); state footprint clarity</w:t>
            </w:r>
          </w:p>
        </w:tc>
      </w:tr>
      <w:tr>
        <w:tc>
          <w:tcPr>
            <w:tcW w:type="dxa" w:w="3216"/>
          </w:tcPr>
          <w:p>
            <w:pPr>
              <w:spacing w:before="40" w:after="40"/>
            </w:pPr>
            <w:r>
              <w:rPr>
                <w:b w:val="0"/>
                <w:i w:val="0"/>
                <w:sz w:val="17"/>
              </w:rPr>
              <w:t>Training curriculum drafting</w:t>
            </w:r>
          </w:p>
        </w:tc>
        <w:tc>
          <w:tcPr>
            <w:tcW w:type="dxa" w:w="3216"/>
          </w:tcPr>
          <w:p>
            <w:pPr>
              <w:spacing w:before="40" w:after="40"/>
            </w:pPr>
            <w:r>
              <w:rPr>
                <w:b w:val="0"/>
                <w:i w:val="0"/>
                <w:sz w:val="17"/>
              </w:rPr>
              <w:t>Stage 3, against filed forms</w:t>
            </w:r>
          </w:p>
        </w:tc>
        <w:tc>
          <w:tcPr>
            <w:tcW w:type="dxa" w:w="3216"/>
          </w:tcPr>
          <w:p>
            <w:pPr>
              <w:spacing w:before="40" w:after="40"/>
            </w:pPr>
            <w:r>
              <w:rPr>
                <w:b w:val="0"/>
                <w:i w:val="0"/>
                <w:sz w:val="17"/>
              </w:rPr>
              <w:t>Filed — not approved — forms</w:t>
            </w:r>
          </w:p>
        </w:tc>
      </w:tr>
      <w:tr>
        <w:tc>
          <w:tcPr>
            <w:tcW w:type="dxa" w:w="3216"/>
          </w:tcPr>
          <w:p>
            <w:pPr>
              <w:spacing w:before="40" w:after="40"/>
            </w:pPr>
            <w:r>
              <w:rPr>
                <w:b w:val="0"/>
                <w:i w:val="0"/>
                <w:sz w:val="17"/>
              </w:rPr>
              <w:t>Training curriculum finalization</w:t>
            </w:r>
          </w:p>
        </w:tc>
        <w:tc>
          <w:tcPr>
            <w:tcW w:type="dxa" w:w="3216"/>
          </w:tcPr>
          <w:p>
            <w:pPr>
              <w:spacing w:before="40" w:after="40"/>
            </w:pPr>
            <w:r>
              <w:rPr>
                <w:b w:val="0"/>
                <w:i w:val="0"/>
                <w:sz w:val="17"/>
              </w:rPr>
              <w:t>After Gate 3</w:t>
            </w:r>
          </w:p>
        </w:tc>
        <w:tc>
          <w:tcPr>
            <w:tcW w:type="dxa" w:w="3216"/>
          </w:tcPr>
          <w:p>
            <w:pPr>
              <w:spacing w:before="40" w:after="40"/>
            </w:pPr>
            <w:r>
              <w:rPr>
                <w:b w:val="0"/>
                <w:i w:val="0"/>
                <w:sz w:val="17"/>
              </w:rPr>
              <w:t>Form approval per state</w:t>
            </w:r>
          </w:p>
        </w:tc>
      </w:tr>
      <w:tr>
        <w:tc>
          <w:tcPr>
            <w:tcW w:type="dxa" w:w="3216"/>
          </w:tcPr>
          <w:p>
            <w:pPr>
              <w:spacing w:before="40" w:after="40"/>
            </w:pPr>
            <w:r>
              <w:rPr>
                <w:b w:val="0"/>
                <w:i w:val="0"/>
                <w:sz w:val="17"/>
              </w:rPr>
              <w:t>Product certification delivery</w:t>
            </w:r>
          </w:p>
        </w:tc>
        <w:tc>
          <w:tcPr>
            <w:tcW w:type="dxa" w:w="3216"/>
          </w:tcPr>
          <w:p>
            <w:pPr>
              <w:spacing w:before="40" w:after="40"/>
            </w:pPr>
            <w:r>
              <w:rPr>
                <w:b w:val="0"/>
                <w:i w:val="0"/>
                <w:sz w:val="17"/>
              </w:rPr>
              <w:t>After Gate 3</w:t>
            </w:r>
          </w:p>
        </w:tc>
        <w:tc>
          <w:tcPr>
            <w:tcW w:type="dxa" w:w="3216"/>
          </w:tcPr>
          <w:p>
            <w:pPr>
              <w:spacing w:before="40" w:after="40"/>
            </w:pPr>
            <w:r>
              <w:rPr>
                <w:b w:val="0"/>
                <w:i w:val="0"/>
                <w:sz w:val="17"/>
              </w:rPr>
              <w:t>Approved forms; ~19 weeks to launch</w:t>
            </w:r>
          </w:p>
        </w:tc>
      </w:tr>
      <w:tr>
        <w:tc>
          <w:tcPr>
            <w:tcW w:type="dxa" w:w="3216"/>
          </w:tcPr>
          <w:p>
            <w:pPr>
              <w:spacing w:before="40" w:after="40"/>
            </w:pPr>
            <w:r>
              <w:rPr>
                <w:b w:val="0"/>
                <w:i w:val="0"/>
                <w:sz w:val="17"/>
              </w:rPr>
              <w:t>Sales literature approval and print</w:t>
            </w:r>
          </w:p>
        </w:tc>
        <w:tc>
          <w:tcPr>
            <w:tcW w:type="dxa" w:w="3216"/>
          </w:tcPr>
          <w:p>
            <w:pPr>
              <w:spacing w:before="40" w:after="40"/>
            </w:pPr>
            <w:r>
              <w:rPr>
                <w:b w:val="0"/>
                <w:i w:val="0"/>
                <w:sz w:val="17"/>
              </w:rPr>
              <w:t>After Gate 3</w:t>
            </w:r>
          </w:p>
        </w:tc>
        <w:tc>
          <w:tcPr>
            <w:tcW w:type="dxa" w:w="3216"/>
          </w:tcPr>
          <w:p>
            <w:pPr>
              <w:spacing w:before="40" w:after="40"/>
            </w:pPr>
            <w:r>
              <w:rPr>
                <w:b w:val="0"/>
                <w:i w:val="0"/>
                <w:sz w:val="17"/>
              </w:rPr>
              <w:t>Advertising review and state filing</w:t>
            </w:r>
          </w:p>
        </w:tc>
      </w:tr>
      <w:tr>
        <w:tc>
          <w:tcPr>
            <w:tcW w:type="dxa" w:w="3216"/>
          </w:tcPr>
          <w:p>
            <w:pPr>
              <w:spacing w:before="40" w:after="40"/>
            </w:pPr>
            <w:r>
              <w:rPr>
                <w:b w:val="0"/>
                <w:i w:val="0"/>
                <w:sz w:val="17"/>
              </w:rPr>
              <w:t>Launch marketing execution</w:t>
            </w:r>
          </w:p>
        </w:tc>
        <w:tc>
          <w:tcPr>
            <w:tcW w:type="dxa" w:w="3216"/>
          </w:tcPr>
          <w:p>
            <w:pPr>
              <w:spacing w:before="40" w:after="40"/>
            </w:pPr>
            <w:r>
              <w:rPr>
                <w:b w:val="0"/>
                <w:i w:val="0"/>
                <w:sz w:val="17"/>
              </w:rPr>
              <w:t>After Gate 4</w:t>
            </w:r>
          </w:p>
        </w:tc>
        <w:tc>
          <w:tcPr>
            <w:tcW w:type="dxa" w:w="3216"/>
          </w:tcPr>
          <w:p>
            <w:pPr>
              <w:spacing w:before="40" w:after="40"/>
            </w:pPr>
            <w:r>
              <w:rPr>
                <w:b w:val="0"/>
                <w:i w:val="0"/>
                <w:sz w:val="17"/>
              </w:rPr>
              <w:t>Stage 4 funding release (24 Feb 2028)</w:t>
            </w:r>
          </w:p>
        </w:tc>
      </w:tr>
    </w:tbl>
    <w:p/>
    <w:p>
      <w:pPr>
        <w:spacing w:before="200" w:after="80"/>
      </w:pPr>
      <w:r>
        <w:rPr>
          <w:b/>
          <w:i w:val="0"/>
          <w:color w:val="14352A"/>
          <w:sz w:val="24"/>
        </w:rPr>
        <w:t>9.1 What compresses if filing slips</w:t>
      </w:r>
    </w:p>
    <w:p>
      <w:pPr>
        <w:spacing w:after="120"/>
      </w:pPr>
      <w:r>
        <w:rPr>
          <w:b w:val="0"/>
          <w:i w:val="0"/>
          <w:sz w:val="20"/>
        </w:rPr>
        <w:t xml:space="preserve">Risks </w:t>
      </w:r>
      <w:r>
        <w:rPr>
          <w:b/>
          <w:i w:val="0"/>
          <w:sz w:val="20"/>
        </w:rPr>
        <w:t>R-01</w:t>
      </w:r>
      <w:r>
        <w:rPr>
          <w:b w:val="0"/>
          <w:i w:val="0"/>
          <w:sz w:val="20"/>
        </w:rPr>
        <w:t xml:space="preserve"> and </w:t>
      </w:r>
      <w:r>
        <w:rPr>
          <w:b/>
          <w:i w:val="0"/>
          <w:sz w:val="20"/>
        </w:rPr>
        <w:t>R-02</w:t>
      </w:r>
      <w:r>
        <w:rPr>
          <w:b w:val="0"/>
          <w:i w:val="0"/>
          <w:sz w:val="20"/>
        </w:rPr>
        <w:t xml:space="preserve"> both threaten the approval date: an extended Compact review over the rider feature, and non-Compact state approvals landing later than Compact states. If either materializes, the 19-week certification window compresses day for day, because </w:t>
      </w:r>
      <w:r>
        <w:rPr>
          <w:b/>
          <w:i w:val="0"/>
          <w:sz w:val="20"/>
        </w:rPr>
        <w:t>the launch date has never moved</w:t>
      </w:r>
      <w:r>
        <w:rPr>
          <w:b w:val="0"/>
          <w:i w:val="0"/>
          <w:sz w:val="20"/>
        </w:rPr>
        <w:t>. Enablement has no float of its own; it holds the filing plan's float, and the filing plan does not have any to give.</w:t>
      </w:r>
    </w:p>
    <w:p>
      <w:pPr>
        <w:spacing w:after="120"/>
      </w:pPr>
      <w:r>
        <w:rPr>
          <w:b w:val="0"/>
          <w:i w:val="0"/>
          <w:sz w:val="20"/>
        </w:rPr>
        <w:t xml:space="preserve">The mitigation is structural rather than heroic: draft the curriculum against </w:t>
      </w:r>
      <w:r>
        <w:rPr>
          <w:b w:val="0"/>
          <w:i/>
          <w:sz w:val="20"/>
        </w:rPr>
        <w:t>filed</w:t>
      </w:r>
      <w:r>
        <w:rPr>
          <w:b w:val="0"/>
          <w:i w:val="0"/>
          <w:sz w:val="20"/>
        </w:rPr>
        <w:t xml:space="preserve"> forms during Stage 3 so that approval triggers a review-and-release rather than a build, and phase certification by state in the order approvals land rather than waiting for a complete national set. A phased certification rollout is also the honest answer to a phased approval outcome — if the product is approved in the Compact states and not yet in California or Florida, the producer base that can legally be certified is the Compact base, and the launch plan should say so rather than describing a national launch it will not have.</w:t>
      </w:r>
    </w:p>
    <w:p>
      <w:pPr>
        <w:spacing w:before="280" w:after="80"/>
      </w:pPr>
      <w:r>
        <w:rPr>
          <w:b/>
          <w:i w:val="0"/>
          <w:color w:val="14352A"/>
          <w:sz w:val="28"/>
        </w:rPr>
        <w:t>10. Distribution Risks, Issues &amp; Dependencies</w:t>
      </w:r>
    </w:p>
    <w:p>
      <w:pPr>
        <w:spacing w:after="120"/>
      </w:pPr>
      <w:r>
        <w:rPr>
          <w:b w:val="0"/>
          <w:i w:val="0"/>
          <w:sz w:val="20"/>
        </w:rPr>
        <w:t>The register entries this plan owns or is materially exposed to, drawn from the RAIDD Log without restatement or softening.</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930"/>
            <w:shd w:val="clear" w:fill="14352A"/>
          </w:tcPr>
          <w:p>
            <w:pPr>
              <w:spacing w:before="40" w:after="40"/>
            </w:pPr>
            <w:r>
              <w:rPr>
                <w:b/>
                <w:i w:val="0"/>
                <w:color w:val="FFFFFF"/>
                <w:sz w:val="17"/>
              </w:rPr>
              <w:t>ID</w:t>
            </w:r>
          </w:p>
        </w:tc>
        <w:tc>
          <w:tcPr>
            <w:tcW w:type="dxa" w:w="1930"/>
            <w:shd w:val="clear" w:fill="14352A"/>
          </w:tcPr>
          <w:p>
            <w:pPr>
              <w:spacing w:before="40" w:after="40"/>
            </w:pPr>
            <w:r>
              <w:rPr>
                <w:b/>
                <w:i w:val="0"/>
                <w:color w:val="FFFFFF"/>
                <w:sz w:val="17"/>
              </w:rPr>
              <w:t>Entry</w:t>
            </w:r>
          </w:p>
        </w:tc>
        <w:tc>
          <w:tcPr>
            <w:tcW w:type="dxa" w:w="1930"/>
            <w:shd w:val="clear" w:fill="14352A"/>
          </w:tcPr>
          <w:p>
            <w:pPr>
              <w:spacing w:before="40" w:after="40"/>
            </w:pPr>
            <w:r>
              <w:rPr>
                <w:b/>
                <w:i w:val="0"/>
                <w:color w:val="FFFFFF"/>
                <w:sz w:val="17"/>
              </w:rPr>
              <w:t>Owner</w:t>
            </w:r>
          </w:p>
        </w:tc>
        <w:tc>
          <w:tcPr>
            <w:tcW w:type="dxa" w:w="1930"/>
            <w:shd w:val="clear" w:fill="14352A"/>
          </w:tcPr>
          <w:p>
            <w:pPr>
              <w:spacing w:before="40" w:after="40"/>
            </w:pPr>
            <w:r>
              <w:rPr>
                <w:b/>
                <w:i w:val="0"/>
                <w:color w:val="FFFFFF"/>
                <w:sz w:val="17"/>
              </w:rPr>
              <w:t>Status</w:t>
            </w:r>
          </w:p>
        </w:tc>
        <w:tc>
          <w:tcPr>
            <w:tcW w:type="dxa" w:w="1930"/>
            <w:shd w:val="clear" w:fill="14352A"/>
          </w:tcPr>
          <w:p>
            <w:pPr>
              <w:spacing w:before="40" w:after="40"/>
            </w:pPr>
            <w:r>
              <w:rPr>
                <w:b/>
                <w:i w:val="0"/>
                <w:color w:val="FFFFFF"/>
                <w:sz w:val="17"/>
              </w:rPr>
              <w:t>Bearing on this plan</w:t>
            </w:r>
          </w:p>
        </w:tc>
      </w:tr>
      <w:tr>
        <w:tc>
          <w:tcPr>
            <w:tcW w:type="dxa" w:w="1930"/>
          </w:tcPr>
          <w:p>
            <w:pPr>
              <w:spacing w:before="40" w:after="40"/>
            </w:pPr>
            <w:r>
              <w:rPr>
                <w:b/>
                <w:i w:val="0"/>
                <w:sz w:val="17"/>
              </w:rPr>
              <w:t>R-07</w:t>
            </w:r>
          </w:p>
        </w:tc>
        <w:tc>
          <w:tcPr>
            <w:tcW w:type="dxa" w:w="1930"/>
          </w:tcPr>
          <w:p>
            <w:pPr>
              <w:spacing w:before="40" w:after="40"/>
            </w:pPr>
            <w:r>
              <w:rPr>
                <w:b w:val="0"/>
                <w:i w:val="0"/>
                <w:sz w:val="17"/>
              </w:rPr>
              <w:t>Distribution partners deprioritize against competitor launches in the same quarter</w:t>
            </w:r>
          </w:p>
        </w:tc>
        <w:tc>
          <w:tcPr>
            <w:tcW w:type="dxa" w:w="1930"/>
          </w:tcPr>
          <w:p>
            <w:pPr>
              <w:spacing w:before="40" w:after="40"/>
            </w:pPr>
            <w:r>
              <w:rPr>
                <w:b w:val="0"/>
                <w:i w:val="0"/>
                <w:sz w:val="17"/>
              </w:rPr>
              <w:t>R. Castellanos</w:t>
            </w:r>
          </w:p>
        </w:tc>
        <w:tc>
          <w:tcPr>
            <w:tcW w:type="dxa" w:w="1930"/>
          </w:tcPr>
          <w:p>
            <w:pPr>
              <w:spacing w:before="40" w:after="40"/>
            </w:pPr>
            <w:r>
              <w:rPr>
                <w:b w:val="0"/>
                <w:i w:val="0"/>
                <w:sz w:val="17"/>
              </w:rPr>
              <w:t>Open — elevated</w:t>
            </w:r>
          </w:p>
        </w:tc>
        <w:tc>
          <w:tcPr>
            <w:tcW w:type="dxa" w:w="1930"/>
          </w:tcPr>
          <w:p>
            <w:pPr>
              <w:spacing w:before="40" w:after="40"/>
            </w:pPr>
            <w:r>
              <w:rPr>
                <w:b w:val="0"/>
                <w:i w:val="0"/>
                <w:sz w:val="17"/>
              </w:rPr>
              <w:t>The central distribution risk. Score rose at the status date; shelf space is finite and this product is new to it</w:t>
            </w:r>
          </w:p>
        </w:tc>
      </w:tr>
      <w:tr>
        <w:tc>
          <w:tcPr>
            <w:tcW w:type="dxa" w:w="1930"/>
          </w:tcPr>
          <w:p>
            <w:pPr>
              <w:spacing w:before="40" w:after="40"/>
            </w:pPr>
            <w:r>
              <w:rPr>
                <w:b/>
                <w:i w:val="0"/>
                <w:sz w:val="17"/>
              </w:rPr>
              <w:t>R-11</w:t>
            </w:r>
          </w:p>
        </w:tc>
        <w:tc>
          <w:tcPr>
            <w:tcW w:type="dxa" w:w="1930"/>
          </w:tcPr>
          <w:p>
            <w:pPr>
              <w:spacing w:before="40" w:after="40"/>
            </w:pPr>
            <w:r>
              <w:rPr>
                <w:b w:val="0"/>
                <w:i w:val="0"/>
                <w:sz w:val="17"/>
              </w:rPr>
              <w:t>Advisor appointment and licensing throughput limits producing agents at launch</w:t>
            </w:r>
          </w:p>
        </w:tc>
        <w:tc>
          <w:tcPr>
            <w:tcW w:type="dxa" w:w="1930"/>
          </w:tcPr>
          <w:p>
            <w:pPr>
              <w:spacing w:before="40" w:after="40"/>
            </w:pPr>
            <w:r>
              <w:rPr>
                <w:b w:val="0"/>
                <w:i w:val="0"/>
                <w:sz w:val="17"/>
              </w:rPr>
              <w:t>H. Kirkpatrick</w:t>
            </w:r>
          </w:p>
        </w:tc>
        <w:tc>
          <w:tcPr>
            <w:tcW w:type="dxa" w:w="1930"/>
          </w:tcPr>
          <w:p>
            <w:pPr>
              <w:spacing w:before="40" w:after="40"/>
            </w:pPr>
            <w:r>
              <w:rPr>
                <w:b w:val="0"/>
                <w:i w:val="0"/>
                <w:sz w:val="17"/>
              </w:rPr>
              <w:t>Open — monitor</w:t>
            </w:r>
          </w:p>
        </w:tc>
        <w:tc>
          <w:tcPr>
            <w:tcW w:type="dxa" w:w="1930"/>
          </w:tcPr>
          <w:p>
            <w:pPr>
              <w:spacing w:before="40" w:after="40"/>
            </w:pPr>
            <w:r>
              <w:rPr>
                <w:b w:val="0"/>
                <w:i w:val="0"/>
                <w:sz w:val="17"/>
              </w:rPr>
              <w:t>Quantified in Section 5; mitigated by front-loading carrier appointment</w:t>
            </w:r>
          </w:p>
        </w:tc>
      </w:tr>
      <w:tr>
        <w:tc>
          <w:tcPr>
            <w:tcW w:type="dxa" w:w="1930"/>
          </w:tcPr>
          <w:p>
            <w:pPr>
              <w:spacing w:before="40" w:after="40"/>
            </w:pPr>
            <w:r>
              <w:rPr>
                <w:b/>
                <w:i w:val="0"/>
                <w:sz w:val="17"/>
              </w:rPr>
              <w:t>R-03</w:t>
            </w:r>
          </w:p>
        </w:tc>
        <w:tc>
          <w:tcPr>
            <w:tcW w:type="dxa" w:w="1930"/>
          </w:tcPr>
          <w:p>
            <w:pPr>
              <w:spacing w:before="40" w:after="40"/>
            </w:pPr>
            <w:r>
              <w:rPr>
                <w:b w:val="0"/>
                <w:i w:val="0"/>
                <w:sz w:val="17"/>
              </w:rPr>
              <w:t>Option budget compresses, pushing the illustrated cap below competitive</w:t>
            </w:r>
          </w:p>
        </w:tc>
        <w:tc>
          <w:tcPr>
            <w:tcW w:type="dxa" w:w="1930"/>
          </w:tcPr>
          <w:p>
            <w:pPr>
              <w:spacing w:before="40" w:after="40"/>
            </w:pPr>
            <w:r>
              <w:rPr>
                <w:b w:val="0"/>
                <w:i w:val="0"/>
                <w:sz w:val="17"/>
              </w:rPr>
              <w:t>S. Ravichandran</w:t>
            </w:r>
          </w:p>
        </w:tc>
        <w:tc>
          <w:tcPr>
            <w:tcW w:type="dxa" w:w="1930"/>
          </w:tcPr>
          <w:p>
            <w:pPr>
              <w:spacing w:before="40" w:after="40"/>
            </w:pPr>
            <w:r>
              <w:rPr>
                <w:b w:val="0"/>
                <w:i w:val="0"/>
                <w:sz w:val="17"/>
              </w:rPr>
              <w:t>Open — monitor</w:t>
            </w:r>
          </w:p>
        </w:tc>
        <w:tc>
          <w:tcPr>
            <w:tcW w:type="dxa" w:w="1930"/>
          </w:tcPr>
          <w:p>
            <w:pPr>
              <w:spacing w:before="40" w:after="40"/>
            </w:pPr>
            <w:r>
              <w:rPr>
                <w:b w:val="0"/>
                <w:i w:val="0"/>
                <w:sz w:val="17"/>
              </w:rPr>
              <w:t>Would invalidate the positioning every enablement material is built on (§7.2)</w:t>
            </w:r>
          </w:p>
        </w:tc>
      </w:tr>
      <w:tr>
        <w:tc>
          <w:tcPr>
            <w:tcW w:type="dxa" w:w="1930"/>
          </w:tcPr>
          <w:p>
            <w:pPr>
              <w:spacing w:before="40" w:after="40"/>
            </w:pPr>
            <w:r>
              <w:rPr>
                <w:b/>
                <w:i w:val="0"/>
                <w:sz w:val="17"/>
              </w:rPr>
              <w:t>I-06</w:t>
            </w:r>
          </w:p>
        </w:tc>
        <w:tc>
          <w:tcPr>
            <w:tcW w:type="dxa" w:w="1930"/>
          </w:tcPr>
          <w:p>
            <w:pPr>
              <w:spacing w:before="40" w:after="40"/>
            </w:pPr>
            <w:r>
              <w:rPr>
                <w:b w:val="0"/>
                <w:i w:val="0"/>
                <w:sz w:val="17"/>
              </w:rPr>
              <w:t>Plan assumed 6 field wholesalers; Distribution can commit 4</w:t>
            </w:r>
          </w:p>
        </w:tc>
        <w:tc>
          <w:tcPr>
            <w:tcW w:type="dxa" w:w="1930"/>
          </w:tcPr>
          <w:p>
            <w:pPr>
              <w:spacing w:before="40" w:after="40"/>
            </w:pPr>
            <w:r>
              <w:rPr>
                <w:b w:val="0"/>
                <w:i w:val="0"/>
                <w:sz w:val="17"/>
              </w:rPr>
              <w:t>R. Castellanos</w:t>
            </w:r>
          </w:p>
        </w:tc>
        <w:tc>
          <w:tcPr>
            <w:tcW w:type="dxa" w:w="1930"/>
          </w:tcPr>
          <w:p>
            <w:pPr>
              <w:spacing w:before="40" w:after="40"/>
            </w:pPr>
            <w:r>
              <w:rPr>
                <w:b w:val="0"/>
                <w:i w:val="0"/>
                <w:sz w:val="17"/>
              </w:rPr>
              <w:t>Open</w:t>
            </w:r>
          </w:p>
        </w:tc>
        <w:tc>
          <w:tcPr>
            <w:tcW w:type="dxa" w:w="1930"/>
          </w:tcPr>
          <w:p>
            <w:pPr>
              <w:spacing w:before="40" w:after="40"/>
            </w:pPr>
            <w:r>
              <w:rPr>
                <w:b w:val="0"/>
                <w:i w:val="0"/>
                <w:sz w:val="17"/>
              </w:rPr>
              <w:t>Forces the coverage decision in §4.1</w:t>
            </w:r>
          </w:p>
        </w:tc>
      </w:tr>
      <w:tr>
        <w:tc>
          <w:tcPr>
            <w:tcW w:type="dxa" w:w="1930"/>
          </w:tcPr>
          <w:p>
            <w:pPr>
              <w:spacing w:before="40" w:after="40"/>
            </w:pPr>
            <w:r>
              <w:rPr>
                <w:b/>
                <w:i w:val="0"/>
                <w:sz w:val="17"/>
              </w:rPr>
              <w:t>GC-04</w:t>
            </w:r>
          </w:p>
        </w:tc>
        <w:tc>
          <w:tcPr>
            <w:tcW w:type="dxa" w:w="1930"/>
          </w:tcPr>
          <w:p>
            <w:pPr>
              <w:spacing w:before="40" w:after="40"/>
            </w:pPr>
            <w:r>
              <w:rPr>
                <w:b w:val="0"/>
                <w:i w:val="0"/>
                <w:sz w:val="17"/>
              </w:rPr>
              <w:t>Re-validate distribution volume assumptions with the three largest IMO partners</w:t>
            </w:r>
          </w:p>
        </w:tc>
        <w:tc>
          <w:tcPr>
            <w:tcW w:type="dxa" w:w="1930"/>
          </w:tcPr>
          <w:p>
            <w:pPr>
              <w:spacing w:before="40" w:after="40"/>
            </w:pPr>
            <w:r>
              <w:rPr>
                <w:b w:val="0"/>
                <w:i w:val="0"/>
                <w:sz w:val="17"/>
              </w:rPr>
              <w:t>R. Castellanos</w:t>
            </w:r>
          </w:p>
        </w:tc>
        <w:tc>
          <w:tcPr>
            <w:tcW w:type="dxa" w:w="1930"/>
          </w:tcPr>
          <w:p>
            <w:pPr>
              <w:spacing w:before="40" w:after="40"/>
            </w:pPr>
            <w:r>
              <w:rPr>
                <w:b w:val="0"/>
                <w:i w:val="0"/>
                <w:sz w:val="17"/>
              </w:rPr>
              <w:t>Closed 14 Aug 2026</w:t>
            </w:r>
          </w:p>
        </w:tc>
        <w:tc>
          <w:tcPr>
            <w:tcW w:type="dxa" w:w="1930"/>
          </w:tcPr>
          <w:p>
            <w:pPr>
              <w:spacing w:before="40" w:after="40"/>
            </w:pPr>
            <w:r>
              <w:rPr>
                <w:b w:val="0"/>
                <w:i w:val="0"/>
                <w:sz w:val="17"/>
              </w:rPr>
              <w:t>Closed; the $17,000,000 gap it exposed is not (§3)</w:t>
            </w:r>
          </w:p>
        </w:tc>
      </w:tr>
      <w:tr>
        <w:tc>
          <w:tcPr>
            <w:tcW w:type="dxa" w:w="1930"/>
          </w:tcPr>
          <w:p>
            <w:pPr>
              <w:spacing w:before="40" w:after="40"/>
            </w:pPr>
            <w:r>
              <w:rPr>
                <w:b/>
                <w:i w:val="0"/>
                <w:sz w:val="17"/>
              </w:rPr>
              <w:t>A-05</w:t>
            </w:r>
          </w:p>
        </w:tc>
        <w:tc>
          <w:tcPr>
            <w:tcW w:type="dxa" w:w="1930"/>
          </w:tcPr>
          <w:p>
            <w:pPr>
              <w:spacing w:before="40" w:after="40"/>
            </w:pPr>
            <w:r>
              <w:rPr>
                <w:b w:val="0"/>
                <w:i w:val="0"/>
                <w:sz w:val="17"/>
              </w:rPr>
              <w:t>Distribution runs through existing IMO and broker-dealer relationships; no new channel</w:t>
            </w:r>
          </w:p>
        </w:tc>
        <w:tc>
          <w:tcPr>
            <w:tcW w:type="dxa" w:w="1930"/>
          </w:tcPr>
          <w:p>
            <w:pPr>
              <w:spacing w:before="40" w:after="40"/>
            </w:pPr>
            <w:r>
              <w:rPr>
                <w:b w:val="0"/>
                <w:i w:val="0"/>
                <w:sz w:val="17"/>
              </w:rPr>
              <w:t>R. Castellanos</w:t>
            </w:r>
          </w:p>
        </w:tc>
        <w:tc>
          <w:tcPr>
            <w:tcW w:type="dxa" w:w="1930"/>
          </w:tcPr>
          <w:p>
            <w:pPr>
              <w:spacing w:before="40" w:after="40"/>
            </w:pPr>
            <w:r>
              <w:rPr>
                <w:b w:val="0"/>
                <w:i w:val="0"/>
                <w:sz w:val="17"/>
              </w:rPr>
              <w:t>Holding</w:t>
            </w:r>
          </w:p>
        </w:tc>
        <w:tc>
          <w:tcPr>
            <w:tcW w:type="dxa" w:w="1930"/>
          </w:tcPr>
          <w:p>
            <w:pPr>
              <w:spacing w:before="40" w:after="40"/>
            </w:pPr>
            <w:r>
              <w:rPr>
                <w:b w:val="0"/>
                <w:i w:val="0"/>
                <w:sz w:val="17"/>
              </w:rPr>
              <w:t>The architecture in §2 depends on it entirely</w:t>
            </w:r>
          </w:p>
        </w:tc>
      </w:tr>
      <w:tr>
        <w:tc>
          <w:tcPr>
            <w:tcW w:type="dxa" w:w="1930"/>
          </w:tcPr>
          <w:p>
            <w:pPr>
              <w:spacing w:before="40" w:after="40"/>
            </w:pPr>
            <w:r>
              <w:rPr>
                <w:b/>
                <w:i w:val="0"/>
                <w:sz w:val="17"/>
              </w:rPr>
              <w:t>A-01</w:t>
            </w:r>
          </w:p>
        </w:tc>
        <w:tc>
          <w:tcPr>
            <w:tcW w:type="dxa" w:w="1930"/>
          </w:tcPr>
          <w:p>
            <w:pPr>
              <w:spacing w:before="40" w:after="40"/>
            </w:pPr>
            <w:r>
              <w:rPr>
                <w:b w:val="0"/>
                <w:i w:val="0"/>
                <w:sz w:val="17"/>
              </w:rPr>
              <w:t>Licensed and in good standing across all target states through launch</w:t>
            </w:r>
          </w:p>
        </w:tc>
        <w:tc>
          <w:tcPr>
            <w:tcW w:type="dxa" w:w="1930"/>
          </w:tcPr>
          <w:p>
            <w:pPr>
              <w:spacing w:before="40" w:after="40"/>
            </w:pPr>
            <w:r>
              <w:rPr>
                <w:b w:val="0"/>
                <w:i w:val="0"/>
                <w:sz w:val="17"/>
              </w:rPr>
              <w:t>P. Hollingsworth</w:t>
            </w:r>
          </w:p>
        </w:tc>
        <w:tc>
          <w:tcPr>
            <w:tcW w:type="dxa" w:w="1930"/>
          </w:tcPr>
          <w:p>
            <w:pPr>
              <w:spacing w:before="40" w:after="40"/>
            </w:pPr>
            <w:r>
              <w:rPr>
                <w:b w:val="0"/>
                <w:i w:val="0"/>
                <w:sz w:val="17"/>
              </w:rPr>
              <w:t>Holding</w:t>
            </w:r>
          </w:p>
        </w:tc>
        <w:tc>
          <w:tcPr>
            <w:tcW w:type="dxa" w:w="1930"/>
          </w:tcPr>
          <w:p>
            <w:pPr>
              <w:spacing w:before="40" w:after="40"/>
            </w:pPr>
            <w:r>
              <w:rPr>
                <w:b w:val="0"/>
                <w:i w:val="0"/>
                <w:sz w:val="17"/>
              </w:rPr>
              <w:t>Carrier licensure precedes producer appointment; a lapse stops enablement in that state</w:t>
            </w:r>
          </w:p>
        </w:tc>
      </w:tr>
      <w:tr>
        <w:tc>
          <w:tcPr>
            <w:tcW w:type="dxa" w:w="1930"/>
          </w:tcPr>
          <w:p>
            <w:pPr>
              <w:spacing w:before="40" w:after="40"/>
            </w:pPr>
            <w:r>
              <w:rPr>
                <w:b/>
                <w:i w:val="0"/>
                <w:sz w:val="17"/>
              </w:rPr>
              <w:t>DEP-01</w:t>
            </w:r>
          </w:p>
        </w:tc>
        <w:tc>
          <w:tcPr>
            <w:tcW w:type="dxa" w:w="1930"/>
          </w:tcPr>
          <w:p>
            <w:pPr>
              <w:spacing w:before="40" w:after="40"/>
            </w:pPr>
            <w:r>
              <w:rPr>
                <w:b w:val="0"/>
                <w:i w:val="0"/>
                <w:sz w:val="17"/>
              </w:rPr>
              <w:t>IIPRC review clock — external regulator, cannot be compressed</w:t>
            </w:r>
          </w:p>
        </w:tc>
        <w:tc>
          <w:tcPr>
            <w:tcW w:type="dxa" w:w="1930"/>
          </w:tcPr>
          <w:p>
            <w:pPr>
              <w:spacing w:before="40" w:after="40"/>
            </w:pPr>
            <w:r>
              <w:rPr>
                <w:b w:val="0"/>
                <w:i w:val="0"/>
                <w:sz w:val="17"/>
              </w:rPr>
              <w:t>P. Hollingsworth</w:t>
            </w:r>
          </w:p>
        </w:tc>
        <w:tc>
          <w:tcPr>
            <w:tcW w:type="dxa" w:w="1930"/>
          </w:tcPr>
          <w:p>
            <w:pPr>
              <w:spacing w:before="40" w:after="40"/>
            </w:pPr>
            <w:r>
              <w:rPr>
                <w:b w:val="0"/>
                <w:i w:val="0"/>
                <w:sz w:val="17"/>
              </w:rPr>
              <w:t>Ongoing</w:t>
            </w:r>
          </w:p>
        </w:tc>
        <w:tc>
          <w:tcPr>
            <w:tcW w:type="dxa" w:w="1930"/>
          </w:tcPr>
          <w:p>
            <w:pPr>
              <w:spacing w:before="40" w:after="40"/>
            </w:pPr>
            <w:r>
              <w:rPr>
                <w:b w:val="0"/>
                <w:i w:val="0"/>
                <w:sz w:val="17"/>
              </w:rPr>
              <w:t>Sets the certification window in §9</w:t>
            </w:r>
          </w:p>
        </w:tc>
      </w:tr>
    </w:tbl>
    <w:p/>
    <w:p>
      <w:pPr>
        <w:spacing w:before="200" w:after="80"/>
      </w:pPr>
      <w:r>
        <w:rPr>
          <w:b/>
          <w:i w:val="0"/>
          <w:color w:val="14352A"/>
          <w:sz w:val="24"/>
        </w:rPr>
        <w:t>10.1 The risk this plan cannot mitigate</w:t>
      </w:r>
    </w:p>
    <w:p>
      <w:pPr>
        <w:spacing w:after="120"/>
      </w:pPr>
      <w:r>
        <w:rPr>
          <w:b/>
          <w:i w:val="0"/>
          <w:sz w:val="20"/>
        </w:rPr>
        <w:t>R-07</w:t>
      </w:r>
      <w:r>
        <w:rPr>
          <w:b w:val="0"/>
          <w:i w:val="0"/>
          <w:sz w:val="20"/>
        </w:rPr>
        <w:t xml:space="preserve"> deserves a plain statement. Independent distribution partners are not obliged to prioritize this product, and several carriers will launch indexed annuities into the same quarter. The program's levers are competitive cap positioning, wholesaler attention and material quality — all of which are real and none of which is control. A partner that decides another carrier's product is easier to sell will sell it, and the first the program will know is a production number that arrives below indication with no prior signal. That is exactly why Section 11 measures leading indicators rather than waiting for premium.</w:t>
      </w:r>
    </w:p>
    <w:p>
      <w:pPr>
        <w:spacing w:before="280" w:after="80"/>
      </w:pPr>
      <w:r>
        <w:rPr>
          <w:b/>
          <w:i w:val="0"/>
          <w:color w:val="14352A"/>
          <w:sz w:val="28"/>
        </w:rPr>
        <w:t>11. Measurement — Leading Indicators of a Soft Channel</w:t>
      </w:r>
    </w:p>
    <w:p>
      <w:pPr>
        <w:spacing w:after="120"/>
      </w:pPr>
      <w:r>
        <w:rPr>
          <w:b w:val="0"/>
          <w:i w:val="0"/>
          <w:sz w:val="20"/>
        </w:rPr>
        <w:t xml:space="preserve">Premium is a lagging indicator, and by the time it disappoints, the enablement decisions that would have changed it were made months earlier. The measures below are chosen because they move </w:t>
      </w:r>
      <w:r>
        <w:rPr>
          <w:b w:val="0"/>
          <w:i/>
          <w:sz w:val="20"/>
        </w:rPr>
        <w:t>before</w:t>
      </w:r>
      <w:r>
        <w:rPr>
          <w:b w:val="0"/>
          <w:i w:val="0"/>
          <w:sz w:val="20"/>
        </w:rPr>
        <w:t xml:space="preserve"> premium does, and because each one has a named response rather than a threshold that triggers a discussion.</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Indicator</w:t>
            </w:r>
          </w:p>
        </w:tc>
        <w:tc>
          <w:tcPr>
            <w:tcW w:type="dxa" w:w="3216"/>
            <w:shd w:val="clear" w:fill="14352A"/>
          </w:tcPr>
          <w:p>
            <w:pPr>
              <w:spacing w:before="40" w:after="40"/>
            </w:pPr>
            <w:r>
              <w:rPr>
                <w:b/>
                <w:i w:val="0"/>
                <w:color w:val="FFFFFF"/>
                <w:sz w:val="17"/>
              </w:rPr>
              <w:t>What it reveals</w:t>
            </w:r>
          </w:p>
        </w:tc>
        <w:tc>
          <w:tcPr>
            <w:tcW w:type="dxa" w:w="3216"/>
            <w:shd w:val="clear" w:fill="14352A"/>
          </w:tcPr>
          <w:p>
            <w:pPr>
              <w:spacing w:before="40" w:after="40"/>
            </w:pPr>
            <w:r>
              <w:rPr>
                <w:b/>
                <w:i w:val="0"/>
                <w:color w:val="FFFFFF"/>
                <w:sz w:val="17"/>
              </w:rPr>
              <w:t>Response if it moves</w:t>
            </w:r>
          </w:p>
        </w:tc>
      </w:tr>
      <w:tr>
        <w:tc>
          <w:tcPr>
            <w:tcW w:type="dxa" w:w="3216"/>
          </w:tcPr>
          <w:p>
            <w:pPr>
              <w:spacing w:before="40" w:after="40"/>
            </w:pPr>
            <w:r>
              <w:rPr>
                <w:b w:val="0"/>
                <w:i w:val="0"/>
                <w:sz w:val="17"/>
              </w:rPr>
              <w:t>Certified producers by state, against the §5.1 band</w:t>
            </w:r>
          </w:p>
        </w:tc>
        <w:tc>
          <w:tcPr>
            <w:tcW w:type="dxa" w:w="3216"/>
          </w:tcPr>
          <w:p>
            <w:pPr>
              <w:spacing w:before="40" w:after="40"/>
            </w:pPr>
            <w:r>
              <w:rPr>
                <w:b w:val="0"/>
                <w:i w:val="0"/>
                <w:sz w:val="17"/>
              </w:rPr>
              <w:t>Whether the producer base can physically write the plan</w:t>
            </w:r>
          </w:p>
        </w:tc>
        <w:tc>
          <w:tcPr>
            <w:tcW w:type="dxa" w:w="3216"/>
          </w:tcPr>
          <w:p>
            <w:pPr>
              <w:spacing w:before="40" w:after="40"/>
            </w:pPr>
            <w:r>
              <w:rPr>
                <w:b w:val="0"/>
                <w:i w:val="0"/>
                <w:sz w:val="17"/>
              </w:rPr>
              <w:t>Escalate appointment operations resourcing; re-phase launch states</w:t>
            </w:r>
          </w:p>
        </w:tc>
      </w:tr>
      <w:tr>
        <w:tc>
          <w:tcPr>
            <w:tcW w:type="dxa" w:w="3216"/>
          </w:tcPr>
          <w:p>
            <w:pPr>
              <w:spacing w:before="40" w:after="40"/>
            </w:pPr>
            <w:r>
              <w:rPr>
                <w:b w:val="0"/>
                <w:i w:val="0"/>
                <w:sz w:val="17"/>
              </w:rPr>
              <w:t>Certification completion rate among appointed producers</w:t>
            </w:r>
          </w:p>
        </w:tc>
        <w:tc>
          <w:tcPr>
            <w:tcW w:type="dxa" w:w="3216"/>
          </w:tcPr>
          <w:p>
            <w:pPr>
              <w:spacing w:before="40" w:after="40"/>
            </w:pPr>
            <w:r>
              <w:rPr>
                <w:b w:val="0"/>
                <w:i w:val="0"/>
                <w:sz w:val="17"/>
              </w:rPr>
              <w:t>Advisor interest — an appointed producer who does not certify has decided</w:t>
            </w:r>
          </w:p>
        </w:tc>
        <w:tc>
          <w:tcPr>
            <w:tcW w:type="dxa" w:w="3216"/>
          </w:tcPr>
          <w:p>
            <w:pPr>
              <w:spacing w:before="40" w:after="40"/>
            </w:pPr>
            <w:r>
              <w:rPr>
                <w:b w:val="0"/>
                <w:i w:val="0"/>
                <w:sz w:val="17"/>
              </w:rPr>
              <w:t>Wholesaler re-engagement on that firm; content review</w:t>
            </w:r>
          </w:p>
        </w:tc>
      </w:tr>
      <w:tr>
        <w:tc>
          <w:tcPr>
            <w:tcW w:type="dxa" w:w="3216"/>
          </w:tcPr>
          <w:p>
            <w:pPr>
              <w:spacing w:before="40" w:after="40"/>
            </w:pPr>
            <w:r>
              <w:rPr>
                <w:b w:val="0"/>
                <w:i w:val="0"/>
                <w:sz w:val="17"/>
              </w:rPr>
              <w:t>Tier 1 indication re-confirmation at Gate 4</w:t>
            </w:r>
          </w:p>
        </w:tc>
        <w:tc>
          <w:tcPr>
            <w:tcW w:type="dxa" w:w="3216"/>
          </w:tcPr>
          <w:p>
            <w:pPr>
              <w:spacing w:before="40" w:after="40"/>
            </w:pPr>
            <w:r>
              <w:rPr>
                <w:b w:val="0"/>
                <w:i w:val="0"/>
                <w:sz w:val="17"/>
              </w:rPr>
              <w:t>Whether the $168,000,000 is still real close to launch</w:t>
            </w:r>
          </w:p>
        </w:tc>
        <w:tc>
          <w:tcPr>
            <w:tcW w:type="dxa" w:w="3216"/>
          </w:tcPr>
          <w:p>
            <w:pPr>
              <w:spacing w:before="40" w:after="40"/>
            </w:pPr>
            <w:r>
              <w:rPr>
                <w:b w:val="0"/>
                <w:i w:val="0"/>
                <w:sz w:val="17"/>
              </w:rPr>
              <w:t>Launch Readiness Criteria decision, not a plan revision</w:t>
            </w:r>
          </w:p>
        </w:tc>
      </w:tr>
      <w:tr>
        <w:tc>
          <w:tcPr>
            <w:tcW w:type="dxa" w:w="3216"/>
          </w:tcPr>
          <w:p>
            <w:pPr>
              <w:spacing w:before="40" w:after="40"/>
            </w:pPr>
            <w:r>
              <w:rPr>
                <w:b w:val="0"/>
                <w:i w:val="0"/>
                <w:sz w:val="17"/>
              </w:rPr>
              <w:t>Wholesaler meeting coverage against territory plan</w:t>
            </w:r>
          </w:p>
        </w:tc>
        <w:tc>
          <w:tcPr>
            <w:tcW w:type="dxa" w:w="3216"/>
          </w:tcPr>
          <w:p>
            <w:pPr>
              <w:spacing w:before="40" w:after="40"/>
            </w:pPr>
            <w:r>
              <w:rPr>
                <w:b w:val="0"/>
                <w:i w:val="0"/>
                <w:sz w:val="17"/>
              </w:rPr>
              <w:t>Whether 4 wholesalers are covering 12 relationships in practice</w:t>
            </w:r>
          </w:p>
        </w:tc>
        <w:tc>
          <w:tcPr>
            <w:tcW w:type="dxa" w:w="3216"/>
          </w:tcPr>
          <w:p>
            <w:pPr>
              <w:spacing w:before="40" w:after="40"/>
            </w:pPr>
            <w:r>
              <w:rPr>
                <w:b w:val="0"/>
                <w:i w:val="0"/>
                <w:sz w:val="17"/>
              </w:rPr>
              <w:t>Re-concentrate territories; shift Tier 3 to internal wholesaling</w:t>
            </w:r>
          </w:p>
        </w:tc>
      </w:tr>
      <w:tr>
        <w:tc>
          <w:tcPr>
            <w:tcW w:type="dxa" w:w="3216"/>
          </w:tcPr>
          <w:p>
            <w:pPr>
              <w:spacing w:before="40" w:after="40"/>
            </w:pPr>
            <w:r>
              <w:rPr>
                <w:b w:val="0"/>
                <w:i w:val="0"/>
                <w:sz w:val="17"/>
              </w:rPr>
              <w:t>Illustration requests per certified producer</w:t>
            </w:r>
          </w:p>
        </w:tc>
        <w:tc>
          <w:tcPr>
            <w:tcW w:type="dxa" w:w="3216"/>
          </w:tcPr>
          <w:p>
            <w:pPr>
              <w:spacing w:before="40" w:after="40"/>
            </w:pPr>
            <w:r>
              <w:rPr>
                <w:b w:val="0"/>
                <w:i w:val="0"/>
                <w:sz w:val="17"/>
              </w:rPr>
              <w:t>The earliest real signal of advisor intent to sell</w:t>
            </w:r>
          </w:p>
        </w:tc>
        <w:tc>
          <w:tcPr>
            <w:tcW w:type="dxa" w:w="3216"/>
          </w:tcPr>
          <w:p>
            <w:pPr>
              <w:spacing w:before="40" w:after="40"/>
            </w:pPr>
            <w:r>
              <w:rPr>
                <w:b w:val="0"/>
                <w:i w:val="0"/>
                <w:sz w:val="17"/>
              </w:rPr>
              <w:t>Diagnostic; low volume with high certification means a positioning problem</w:t>
            </w:r>
          </w:p>
        </w:tc>
      </w:tr>
      <w:tr>
        <w:tc>
          <w:tcPr>
            <w:tcW w:type="dxa" w:w="3216"/>
          </w:tcPr>
          <w:p>
            <w:pPr>
              <w:spacing w:before="40" w:after="40"/>
            </w:pPr>
            <w:r>
              <w:rPr>
                <w:b w:val="0"/>
                <w:i w:val="0"/>
                <w:sz w:val="17"/>
              </w:rPr>
              <w:t>Competitor cap movement against the 8.50% floor</w:t>
            </w:r>
          </w:p>
        </w:tc>
        <w:tc>
          <w:tcPr>
            <w:tcW w:type="dxa" w:w="3216"/>
          </w:tcPr>
          <w:p>
            <w:pPr>
              <w:spacing w:before="40" w:after="40"/>
            </w:pPr>
            <w:r>
              <w:rPr>
                <w:b w:val="0"/>
                <w:i w:val="0"/>
                <w:sz w:val="17"/>
              </w:rPr>
              <w:t>Whether the competitive position holds</w:t>
            </w:r>
          </w:p>
        </w:tc>
        <w:tc>
          <w:tcPr>
            <w:tcW w:type="dxa" w:w="3216"/>
          </w:tcPr>
          <w:p>
            <w:pPr>
              <w:spacing w:before="40" w:after="40"/>
            </w:pPr>
            <w:r>
              <w:rPr>
                <w:b w:val="0"/>
                <w:i w:val="0"/>
                <w:sz w:val="17"/>
              </w:rPr>
              <w:t>Pricing review; material set may need repositioning (§7.2)</w:t>
            </w:r>
          </w:p>
        </w:tc>
      </w:tr>
    </w:tbl>
    <w:p/>
    <w:p>
      <w:pPr>
        <w:spacing w:after="120"/>
      </w:pPr>
      <w:r>
        <w:rPr>
          <w:b w:val="0"/>
          <w:i w:val="0"/>
          <w:sz w:val="20"/>
        </w:rPr>
        <w:t>The illustration-request measure is the one worth defending. A producer who has been appointed, has completed certification and has never run an illustration has told the program something that no survey will: the product is on the shelf and is not being taken off it.</w:t>
      </w:r>
    </w:p>
    <w:p>
      <w:pPr>
        <w:spacing w:before="280" w:after="80"/>
      </w:pPr>
      <w:r>
        <w:rPr>
          <w:b/>
          <w:i w:val="0"/>
          <w:color w:val="14352A"/>
          <w:sz w:val="28"/>
        </w:rPr>
        <w:t>12. Governance, Ownership &amp; Document Control</w:t>
      </w:r>
    </w:p>
    <w:p>
      <w:pPr>
        <w:spacing w:after="120"/>
      </w:pPr>
      <w:r>
        <w:rPr>
          <w:b w:val="0"/>
          <w:i w:val="0"/>
          <w:sz w:val="20"/>
        </w:rPr>
        <w:t xml:space="preserve">Distribution strategy and partner relationships are owned by </w:t>
      </w:r>
      <w:r>
        <w:rPr>
          <w:b/>
          <w:i w:val="0"/>
          <w:sz w:val="20"/>
        </w:rPr>
        <w:t>R. Castellanos, Head of Distribution</w:t>
      </w:r>
      <w:r>
        <w:rPr>
          <w:b w:val="0"/>
          <w:i w:val="0"/>
          <w:sz w:val="20"/>
        </w:rPr>
        <w:t xml:space="preserve">, who holds a voting seat on the Gate Review Board. Advisor enablement delivery — curriculum, materials, marketing and certification tracking — is owned by </w:t>
      </w:r>
      <w:r>
        <w:rPr>
          <w:b/>
          <w:i w:val="0"/>
          <w:sz w:val="20"/>
        </w:rPr>
        <w:t>Y. Okonjo</w:t>
      </w:r>
      <w:r>
        <w:rPr>
          <w:b w:val="0"/>
          <w:i w:val="0"/>
          <w:sz w:val="20"/>
        </w:rPr>
        <w:t xml:space="preserve">, leading the Marketing &amp; Advisor Enablement team (4 people). Producer appointment and licensing throughput is owned by </w:t>
      </w:r>
      <w:r>
        <w:rPr>
          <w:b/>
          <w:i w:val="0"/>
          <w:sz w:val="20"/>
        </w:rPr>
        <w:t>H. Kirkpatrick</w:t>
      </w:r>
      <w:r>
        <w:rPr>
          <w:b w:val="0"/>
          <w:i w:val="0"/>
          <w:sz w:val="20"/>
        </w:rPr>
        <w:t xml:space="preserve"> within the Distribution &amp; Wholesaling team (6 people). 10 of the program's 90 people sit across the two teams.</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The Head of Distribution votes on the gate that judges his own commitment position.</w:t>
            </w:r>
            <w:r>
              <w:rPr>
                <w:b w:val="0"/>
                <w:i w:val="0"/>
                <w:sz w:val="20"/>
              </w:rPr>
              <w:t xml:space="preserve"> This is deliberate and is not a control weakness: the five voting seats are functional executives who each carry accountability for a domain the gate decision depends on, and the alternative — a board of disinterested parties — would be a board that cannot interrogate the numbers. The safeguard is that the program manager who assembles the evidence </w:t>
            </w:r>
            <w:r>
              <w:rPr>
                <w:b/>
                <w:i w:val="0"/>
                <w:sz w:val="20"/>
              </w:rPr>
              <w:t>chairs the board without a vote</w:t>
            </w:r>
            <w:r>
              <w:rPr>
                <w:b w:val="0"/>
                <w:i w:val="0"/>
                <w:sz w:val="20"/>
              </w:rPr>
              <w:t xml:space="preserve">, so the person who controls what the board sees has no stake in what it decides. It is also worth recording that the Head of Distribution dissented at the cancellation of the predecessor concept, and that his U rating at the first Gate 1 convening is what produced GC-04 in the first place. </w:t>
            </w:r>
          </w:p>
        </w:tc>
      </w:tr>
    </w:tbl>
    <w:p/>
    <w:p>
      <w:pPr>
        <w:spacing w:before="200" w:after="80"/>
      </w:pPr>
      <w:r>
        <w:rPr>
          <w:b/>
          <w:i w:val="0"/>
          <w:color w:val="14352A"/>
          <w:sz w:val="24"/>
        </w:rPr>
        <w:t>12.1 Related documents</w:t>
      </w:r>
    </w:p>
    <w:p>
      <w:pPr>
        <w:pStyle w:val="ListBullet"/>
        <w:spacing w:after="60"/>
      </w:pPr>
      <w:r>
        <w:rPr>
          <w:b/>
          <w:i w:val="0"/>
          <w:sz w:val="20"/>
        </w:rPr>
        <w:t>Gate 1 Business Case Package</w:t>
      </w:r>
      <w:r>
        <w:rPr>
          <w:b w:val="0"/>
          <w:i w:val="0"/>
          <w:sz w:val="20"/>
        </w:rPr>
        <w:t xml:space="preserve"> — owns the volume assumptions this plan operationalizes.</w:t>
      </w:r>
    </w:p>
    <w:p>
      <w:pPr>
        <w:pStyle w:val="ListBullet"/>
        <w:spacing w:after="60"/>
      </w:pPr>
      <w:r>
        <w:rPr>
          <w:b/>
          <w:i w:val="0"/>
          <w:sz w:val="20"/>
        </w:rPr>
        <w:t>Regulatory Filing Plan</w:t>
      </w:r>
      <w:r>
        <w:rPr>
          <w:b w:val="0"/>
          <w:i w:val="0"/>
          <w:sz w:val="20"/>
        </w:rPr>
        <w:t xml:space="preserve"> — sets the approval sequence that governs Section 9.</w:t>
      </w:r>
    </w:p>
    <w:p>
      <w:pPr>
        <w:pStyle w:val="ListBullet"/>
        <w:spacing w:after="60"/>
      </w:pPr>
      <w:r>
        <w:rPr>
          <w:b/>
          <w:i w:val="0"/>
          <w:sz w:val="20"/>
        </w:rPr>
        <w:t>Gate Conditions Register</w:t>
      </w:r>
      <w:r>
        <w:rPr>
          <w:b w:val="0"/>
          <w:i w:val="0"/>
          <w:sz w:val="20"/>
        </w:rPr>
        <w:t xml:space="preserve"> — the live GC-04 record and its post-closure efficacy finding.</w:t>
      </w:r>
    </w:p>
    <w:p>
      <w:pPr>
        <w:pStyle w:val="ListBullet"/>
        <w:spacing w:after="60"/>
      </w:pPr>
      <w:r>
        <w:rPr>
          <w:b/>
          <w:i w:val="0"/>
          <w:sz w:val="20"/>
        </w:rPr>
        <w:t>Launch Readiness Criteria</w:t>
      </w:r>
      <w:r>
        <w:rPr>
          <w:b w:val="0"/>
          <w:i w:val="0"/>
          <w:sz w:val="20"/>
        </w:rPr>
        <w:t xml:space="preserve"> — decides what an open commitment gap means at Gate 4.</w:t>
      </w:r>
    </w:p>
    <w:p>
      <w:pPr>
        <w:pStyle w:val="ListBullet"/>
        <w:spacing w:after="60"/>
      </w:pPr>
      <w:r>
        <w:rPr>
          <w:b/>
          <w:i w:val="0"/>
          <w:sz w:val="20"/>
        </w:rPr>
        <w:t>Operations Readiness &amp; Cutover Plan</w:t>
      </w:r>
      <w:r>
        <w:rPr>
          <w:b w:val="0"/>
          <w:i w:val="0"/>
          <w:sz w:val="20"/>
        </w:rPr>
        <w:t xml:space="preserve"> — owns suitability review workflow and new-business processing at launch.</w:t>
      </w:r>
    </w:p>
    <w:p>
      <w:pPr>
        <w:pStyle w:val="ListBullet"/>
        <w:spacing w:after="60"/>
      </w:pPr>
      <w:r>
        <w:rPr>
          <w:b/>
          <w:i w:val="0"/>
          <w:sz w:val="20"/>
        </w:rPr>
        <w:t>Master Test &amp; Validation Strategy</w:t>
      </w:r>
      <w:r>
        <w:rPr>
          <w:b w:val="0"/>
          <w:i w:val="0"/>
          <w:sz w:val="20"/>
        </w:rPr>
        <w:t xml:space="preserve"> — sets the illustration-to-filing rule adopted in §7.1.</w:t>
      </w:r>
    </w:p>
    <w:p>
      <w:pPr>
        <w:spacing w:before="200" w:after="80"/>
      </w:pPr>
      <w:r>
        <w:rPr>
          <w:b/>
          <w:i w:val="0"/>
          <w:color w:val="14352A"/>
          <w:sz w:val="24"/>
        </w:rPr>
        <w:t>12.2 Version control</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Version</w:t>
            </w:r>
          </w:p>
        </w:tc>
        <w:tc>
          <w:tcPr>
            <w:tcW w:type="dxa" w:w="3216"/>
            <w:shd w:val="clear" w:fill="14352A"/>
          </w:tcPr>
          <w:p>
            <w:pPr>
              <w:spacing w:before="40" w:after="40"/>
            </w:pPr>
            <w:r>
              <w:rPr>
                <w:b/>
                <w:i w:val="0"/>
                <w:color w:val="FFFFFF"/>
                <w:sz w:val="17"/>
              </w:rPr>
              <w:t>Date</w:t>
            </w:r>
          </w:p>
        </w:tc>
        <w:tc>
          <w:tcPr>
            <w:tcW w:type="dxa" w:w="3216"/>
            <w:shd w:val="clear" w:fill="14352A"/>
          </w:tcPr>
          <w:p>
            <w:pPr>
              <w:spacing w:before="40" w:after="40"/>
            </w:pPr>
            <w:r>
              <w:rPr>
                <w:b/>
                <w:i w:val="0"/>
                <w:color w:val="FFFFFF"/>
                <w:sz w:val="17"/>
              </w:rPr>
              <w:t>Change</w:t>
            </w:r>
          </w:p>
        </w:tc>
      </w:tr>
      <w:tr>
        <w:tc>
          <w:tcPr>
            <w:tcW w:type="dxa" w:w="3216"/>
          </w:tcPr>
          <w:p>
            <w:pPr>
              <w:spacing w:before="40" w:after="40"/>
            </w:pPr>
            <w:r>
              <w:rPr>
                <w:b w:val="0"/>
                <w:i w:val="0"/>
                <w:sz w:val="17"/>
              </w:rPr>
              <w:t>1.0</w:t>
            </w:r>
          </w:p>
        </w:tc>
        <w:tc>
          <w:tcPr>
            <w:tcW w:type="dxa" w:w="3216"/>
          </w:tcPr>
          <w:p>
            <w:pPr>
              <w:spacing w:before="40" w:after="40"/>
            </w:pPr>
            <w:r>
              <w:rPr>
                <w:b w:val="0"/>
                <w:i w:val="0"/>
                <w:sz w:val="17"/>
              </w:rPr>
              <w:t>11 Jun 2026</w:t>
            </w:r>
          </w:p>
        </w:tc>
        <w:tc>
          <w:tcPr>
            <w:tcW w:type="dxa" w:w="3216"/>
          </w:tcPr>
          <w:p>
            <w:pPr>
              <w:spacing w:before="40" w:after="40"/>
            </w:pPr>
            <w:r>
              <w:rPr>
                <w:b w:val="0"/>
                <w:i w:val="0"/>
                <w:sz w:val="17"/>
              </w:rPr>
              <w:t>Initial plan issued with the Gate 1 conditions</w:t>
            </w:r>
          </w:p>
        </w:tc>
      </w:tr>
      <w:tr>
        <w:tc>
          <w:tcPr>
            <w:tcW w:type="dxa" w:w="3216"/>
          </w:tcPr>
          <w:p>
            <w:pPr>
              <w:spacing w:before="40" w:after="40"/>
            </w:pPr>
            <w:r>
              <w:rPr>
                <w:b w:val="0"/>
                <w:i w:val="0"/>
                <w:sz w:val="17"/>
              </w:rPr>
              <w:t>1.1</w:t>
            </w:r>
          </w:p>
        </w:tc>
        <w:tc>
          <w:tcPr>
            <w:tcW w:type="dxa" w:w="3216"/>
          </w:tcPr>
          <w:p>
            <w:pPr>
              <w:spacing w:before="40" w:after="40"/>
            </w:pPr>
            <w:r>
              <w:rPr>
                <w:b w:val="0"/>
                <w:i w:val="0"/>
                <w:sz w:val="17"/>
              </w:rPr>
              <w:t>16 Oct 2026</w:t>
            </w:r>
          </w:p>
        </w:tc>
        <w:tc>
          <w:tcPr>
            <w:tcW w:type="dxa" w:w="3216"/>
          </w:tcPr>
          <w:p>
            <w:pPr>
              <w:spacing w:before="40" w:after="40"/>
            </w:pPr>
            <w:r>
              <w:rPr>
                <w:b w:val="0"/>
                <w:i w:val="0"/>
                <w:sz w:val="17"/>
              </w:rPr>
              <w:t>GC-04 closure and its efficacy finding incorporated; wholesaler coverage position (I-06) and the producer sensitivity band added</w:t>
            </w:r>
          </w:p>
        </w:tc>
      </w:tr>
    </w:tbl>
    <w:p/>
    <w:p>
      <w:pPr>
        <w:spacing w:after="120"/>
      </w:pPr>
      <w:r>
        <w:rPr>
          <w:b/>
          <w:i w:val="0"/>
          <w:sz w:val="20"/>
        </w:rPr>
        <w:t>Prepared by</w:t>
      </w:r>
      <w:r>
        <w:rPr>
          <w:b w:val="0"/>
          <w:i w:val="0"/>
          <w:sz w:val="20"/>
        </w:rPr>
        <w:t xml:space="preserve"> the Program Management Office, Lighthouse Financial Services Company. </w:t>
      </w:r>
      <w:r>
        <w:rPr>
          <w:b/>
          <w:i w:val="0"/>
          <w:sz w:val="20"/>
        </w:rPr>
        <w:t>Owning executive:</w:t>
      </w:r>
      <w:r>
        <w:rPr>
          <w:b w:val="0"/>
          <w:i w:val="0"/>
          <w:sz w:val="20"/>
        </w:rPr>
        <w:t xml:space="preserve"> R. Castellanos, Head of Distribution. </w:t>
      </w:r>
      <w:r>
        <w:rPr>
          <w:b/>
          <w:i w:val="0"/>
          <w:sz w:val="20"/>
        </w:rPr>
        <w:t>Enablement delivery lead:</w:t>
      </w:r>
      <w:r>
        <w:rPr>
          <w:b w:val="0"/>
          <w:i w:val="0"/>
          <w:sz w:val="20"/>
        </w:rPr>
        <w:t xml:space="preserve"> Y. Okonjo. Status date 16 October 2026.</w:t>
      </w:r>
    </w:p>
    <w:p/>
    <w:p>
      <w:pPr>
        <w:jc w:val="left"/>
      </w:pPr>
      <w:r>
        <w:rPr>
          <w:color w:val="5B6472"/>
          <w:sz w:val="15"/>
        </w:rPr>
        <w:t>Lighthouse Financial Services Company — Beacon Index Advantage product development program. Distribution &amp; Advisor Enablement</w:t>
        <w:br/>
        <w:t>Plan, version 1.1. Written commitments are non-binding statements of production intent and are reported as</w:t>
        <w:br/>
        <w:t>such. This is a portfolio demonstration artifact.</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