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color w:val="5B6472"/>
          <w:sz w:val="18"/>
        </w:rPr>
        <w:t>Lighthouse Financial Services Company</w:t>
      </w:r>
    </w:p>
    <w:p>
      <w:r>
        <w:rPr>
          <w:b/>
          <w:color w:val="14352A"/>
          <w:sz w:val="34"/>
        </w:rPr>
        <w:t>Gate 1 — Business Case Package</w:t>
      </w:r>
    </w:p>
    <w:p>
      <w:r>
        <w:rPr>
          <w:color w:val="1E5945"/>
          <w:sz w:val="18"/>
        </w:rPr>
        <w:t>Gate 1 Decision Package · Second Convening</w:t>
      </w:r>
    </w:p>
    <w:p/>
    <w:p>
      <w:pPr>
        <w:spacing w:after="120"/>
      </w:pPr>
      <w:r>
        <w:rPr>
          <w:b/>
          <w:i w:val="0"/>
          <w:sz w:val="20"/>
        </w:rPr>
        <w:t>Lighthouse Financial Services Company</w:t>
      </w:r>
      <w:r>
        <w:rPr>
          <w:b w:val="0"/>
          <w:i w:val="0"/>
          <w:sz w:val="20"/>
        </w:rPr>
        <w:t xml:space="preserve"> — The decision package tabled at the second convening of Gate 1 on </w:t>
      </w:r>
      <w:r>
        <w:rPr>
          <w:b/>
          <w:i w:val="0"/>
          <w:sz w:val="20"/>
        </w:rPr>
        <w:t>11 June 2026</w:t>
      </w:r>
      <w:r>
        <w:rPr>
          <w:b w:val="0"/>
          <w:i w:val="0"/>
          <w:sz w:val="20"/>
        </w:rPr>
        <w:t xml:space="preserve">, seeking release of the Stage 2 development tranche for </w:t>
      </w:r>
      <w:r>
        <w:rPr>
          <w:b/>
          <w:i w:val="0"/>
          <w:sz w:val="20"/>
        </w:rPr>
        <w:t>Beacon Index Advantage</w:t>
      </w:r>
      <w:r>
        <w:rPr>
          <w:b w:val="0"/>
          <w:i w:val="0"/>
          <w:sz w:val="20"/>
        </w:rPr>
        <w:t>. This is the package as it went to the Gate Review Board, including the record of what changed after the first convening was recycled on 30 April 2026, and including the dissenting analysis tabled alongside the recommendation.</w:t>
      </w:r>
    </w:p>
    <w:p>
      <w:pPr>
        <w:spacing w:before="200" w:after="80"/>
      </w:pPr>
      <w:r>
        <w:rPr>
          <w:b/>
          <w:i w:val="0"/>
          <w:color w:val="14352A"/>
          <w:sz w:val="24"/>
        </w:rPr>
        <w:t>Recommendation &amp; the decision sought</w:t>
      </w:r>
    </w:p>
    <w:p>
      <w:pPr>
        <w:spacing w:after="120"/>
      </w:pPr>
      <w:r>
        <w:rPr>
          <w:b/>
          <w:i w:val="0"/>
          <w:sz w:val="20"/>
        </w:rPr>
        <w:t>Recommendation:</w:t>
      </w:r>
      <w:r>
        <w:rPr>
          <w:b w:val="0"/>
          <w:i w:val="0"/>
          <w:sz w:val="20"/>
        </w:rPr>
        <w:t xml:space="preserve"> release the Stage 2 tranche of $11,640,000 to develop Beacon Index Advantage for launch on 06 March 2028, subject to the conditions the Board considers necessary on the weaknesses identified in this package.</w:t>
      </w:r>
    </w:p>
    <w:p>
      <w:pPr>
        <w:spacing w:after="120"/>
      </w:pPr>
      <w:r>
        <w:rPr>
          <w:b w:val="0"/>
          <w:i w:val="0"/>
          <w:sz w:val="20"/>
        </w:rPr>
        <w:t>Tranche requested</w:t>
      </w:r>
    </w:p>
    <w:p>
      <w:pPr>
        <w:spacing w:after="120"/>
      </w:pPr>
      <w:r>
        <w:rPr>
          <w:b w:val="0"/>
          <w:i w:val="0"/>
          <w:sz w:val="20"/>
        </w:rPr>
        <w:t>$11,640,000</w:t>
      </w:r>
    </w:p>
    <w:p>
      <w:pPr>
        <w:spacing w:after="120"/>
      </w:pPr>
      <w:r>
        <w:rPr>
          <w:b w:val="0"/>
          <w:i w:val="0"/>
          <w:sz w:val="20"/>
        </w:rPr>
        <w:t>5-year premium</w:t>
      </w:r>
    </w:p>
    <w:p>
      <w:pPr>
        <w:spacing w:after="120"/>
      </w:pPr>
      <w:r>
        <w:rPr>
          <w:b w:val="0"/>
          <w:i w:val="0"/>
          <w:sz w:val="20"/>
        </w:rPr>
        <w:t>$1,875,000,000</w:t>
      </w:r>
    </w:p>
    <w:p>
      <w:pPr>
        <w:spacing w:after="120"/>
      </w:pPr>
      <w:r>
        <w:rPr>
          <w:b w:val="0"/>
          <w:i w:val="0"/>
          <w:sz w:val="20"/>
        </w:rPr>
        <w:t>Product IRR</w:t>
      </w:r>
    </w:p>
    <w:p>
      <w:pPr>
        <w:spacing w:after="120"/>
      </w:pPr>
      <w:r>
        <w:rPr>
          <w:b w:val="0"/>
          <w:i w:val="0"/>
          <w:sz w:val="20"/>
        </w:rPr>
        <w:t>13.4%</w:t>
      </w:r>
    </w:p>
    <w:p>
      <w:pPr>
        <w:spacing w:after="120"/>
      </w:pPr>
      <w:r>
        <w:rPr>
          <w:b w:val="0"/>
          <w:i w:val="0"/>
          <w:sz w:val="20"/>
        </w:rPr>
        <w:t>Hurdle</w:t>
      </w:r>
    </w:p>
    <w:p>
      <w:pPr>
        <w:spacing w:after="120"/>
      </w:pPr>
      <w:r>
        <w:rPr>
          <w:b w:val="0"/>
          <w:i w:val="0"/>
          <w:sz w:val="20"/>
        </w:rPr>
        <w:t>11.0%</w:t>
      </w:r>
    </w:p>
    <w:p>
      <w:pPr>
        <w:spacing w:after="120"/>
      </w:pPr>
      <w:r>
        <w:rPr>
          <w:b w:val="0"/>
          <w:i w:val="0"/>
          <w:sz w:val="20"/>
        </w:rPr>
        <w:t>Prepared by C. Tyrrell, NPD Program Manager. Issued to the Board ten business days before the gate under the Governance Model §7.</w:t>
      </w:r>
    </w:p>
    <w:p>
      <w:pPr>
        <w:spacing w:before="280" w:after="80"/>
      </w:pPr>
      <w:r>
        <w:rPr>
          <w:b/>
          <w:i w:val="0"/>
          <w:color w:val="14352A"/>
          <w:sz w:val="28"/>
        </w:rPr>
        <w:t>Table of Contents</w:t>
      </w:r>
    </w:p>
    <w:p>
      <w:pPr>
        <w:spacing w:after="120"/>
      </w:pPr>
      <w:r>
        <w:rPr>
          <w:b w:val="0"/>
          <w:i w:val="0"/>
          <w:sz w:val="20"/>
        </w:rPr>
        <w:t>Part I — The Ask</w:t>
      </w:r>
    </w:p>
    <w:p>
      <w:pPr>
        <w:pStyle w:val="ListNumber"/>
        <w:spacing w:after="60"/>
      </w:pPr>
      <w:r>
        <w:rPr>
          <w:b w:val="0"/>
          <w:i w:val="0"/>
          <w:sz w:val="20"/>
        </w:rPr>
        <w:t>Recommendation &amp; Decision Sought</w:t>
      </w:r>
    </w:p>
    <w:p>
      <w:pPr>
        <w:pStyle w:val="ListNumber"/>
        <w:spacing w:after="60"/>
      </w:pPr>
      <w:r>
        <w:rPr>
          <w:b w:val="0"/>
          <w:i w:val="0"/>
          <w:sz w:val="20"/>
        </w:rPr>
        <w:t>What Changed Since the First Convening</w:t>
      </w:r>
    </w:p>
    <w:p>
      <w:pPr>
        <w:pStyle w:val="ListNumber"/>
        <w:spacing w:after="60"/>
      </w:pPr>
      <w:r>
        <w:rPr>
          <w:b w:val="0"/>
          <w:i w:val="0"/>
          <w:sz w:val="20"/>
        </w:rPr>
        <w:t>Must-Meet Certification</w:t>
      </w:r>
    </w:p>
    <w:p>
      <w:pPr>
        <w:spacing w:after="120"/>
      </w:pPr>
      <w:r>
        <w:rPr>
          <w:b w:val="0"/>
          <w:i w:val="0"/>
          <w:sz w:val="20"/>
        </w:rPr>
        <w:t>Part II — Product &amp; Market</w:t>
      </w:r>
    </w:p>
    <w:p>
      <w:pPr>
        <w:pStyle w:val="ListNumber"/>
        <w:spacing w:after="60"/>
      </w:pPr>
      <w:r>
        <w:rPr>
          <w:b w:val="0"/>
          <w:i w:val="0"/>
          <w:sz w:val="20"/>
        </w:rPr>
        <w:t>Product Concept &amp; Structure</w:t>
      </w:r>
    </w:p>
    <w:p>
      <w:pPr>
        <w:pStyle w:val="ListNumber"/>
        <w:spacing w:after="60"/>
      </w:pPr>
      <w:r>
        <w:rPr>
          <w:b w:val="0"/>
          <w:i w:val="0"/>
          <w:sz w:val="20"/>
        </w:rPr>
        <w:t>Target Market</w:t>
      </w:r>
    </w:p>
    <w:p>
      <w:pPr>
        <w:pStyle w:val="ListNumber"/>
        <w:spacing w:after="60"/>
      </w:pPr>
      <w:r>
        <w:rPr>
          <w:b w:val="0"/>
          <w:i w:val="0"/>
          <w:sz w:val="20"/>
        </w:rPr>
        <w:t>Competitive Position</w:t>
      </w:r>
    </w:p>
    <w:p>
      <w:pPr>
        <w:pStyle w:val="ListNumber"/>
        <w:spacing w:after="60"/>
      </w:pPr>
      <w:r>
        <w:rPr>
          <w:b w:val="0"/>
          <w:i w:val="0"/>
          <w:sz w:val="20"/>
        </w:rPr>
        <w:t>Distribution Plan &amp; Written Commitments</w:t>
      </w:r>
    </w:p>
    <w:p>
      <w:pPr>
        <w:spacing w:after="120"/>
      </w:pPr>
      <w:r>
        <w:rPr>
          <w:b w:val="0"/>
          <w:i w:val="0"/>
          <w:sz w:val="20"/>
        </w:rPr>
        <w:t>Part III — Economics</w:t>
      </w:r>
    </w:p>
    <w:p>
      <w:pPr>
        <w:pStyle w:val="ListNumber"/>
        <w:spacing w:after="60"/>
      </w:pPr>
      <w:r>
        <w:rPr>
          <w:b w:val="0"/>
          <w:i w:val="0"/>
          <w:sz w:val="20"/>
        </w:rPr>
        <w:t>Volume Forecast</w:t>
      </w:r>
    </w:p>
    <w:p>
      <w:pPr>
        <w:pStyle w:val="ListNumber"/>
        <w:spacing w:after="60"/>
      </w:pPr>
      <w:r>
        <w:rPr>
          <w:b w:val="0"/>
          <w:i w:val="0"/>
          <w:sz w:val="20"/>
        </w:rPr>
        <w:t>Capital &amp; Return Against Hurdle</w:t>
      </w:r>
    </w:p>
    <w:p>
      <w:pPr>
        <w:pStyle w:val="ListNumber"/>
        <w:spacing w:after="60"/>
      </w:pPr>
      <w:r>
        <w:rPr>
          <w:b w:val="0"/>
          <w:i w:val="0"/>
          <w:sz w:val="20"/>
        </w:rPr>
        <w:t>Development Cost &amp; the Stage 2 Ask</w:t>
      </w:r>
    </w:p>
    <w:p>
      <w:pPr>
        <w:pStyle w:val="ListNumber"/>
        <w:spacing w:after="60"/>
      </w:pPr>
      <w:r>
        <w:rPr>
          <w:b w:val="0"/>
          <w:i w:val="0"/>
          <w:sz w:val="20"/>
        </w:rPr>
        <w:t>Sensitivities &amp; the Downside Case</w:t>
      </w:r>
    </w:p>
    <w:p>
      <w:pPr>
        <w:spacing w:after="120"/>
      </w:pPr>
      <w:r>
        <w:rPr>
          <w:b w:val="0"/>
          <w:i w:val="0"/>
          <w:sz w:val="20"/>
        </w:rPr>
        <w:t>Part IV — Delivery, Regulation &amp; Risk</w:t>
      </w:r>
    </w:p>
    <w:p>
      <w:pPr>
        <w:pStyle w:val="ListNumber"/>
        <w:spacing w:after="60"/>
      </w:pPr>
      <w:r>
        <w:rPr>
          <w:b w:val="0"/>
          <w:i w:val="0"/>
          <w:sz w:val="20"/>
        </w:rPr>
        <w:t>Stage 2 Scope &amp; Approach</w:t>
      </w:r>
    </w:p>
    <w:p>
      <w:pPr>
        <w:pStyle w:val="ListNumber"/>
        <w:spacing w:after="60"/>
      </w:pPr>
      <w:r>
        <w:rPr>
          <w:b w:val="0"/>
          <w:i w:val="0"/>
          <w:sz w:val="20"/>
        </w:rPr>
        <w:t>Regulatory Route</w:t>
      </w:r>
    </w:p>
    <w:p>
      <w:pPr>
        <w:pStyle w:val="ListNumber"/>
        <w:spacing w:after="60"/>
      </w:pPr>
      <w:r>
        <w:rPr>
          <w:b w:val="0"/>
          <w:i w:val="0"/>
          <w:sz w:val="20"/>
        </w:rPr>
        <w:t>Risk Position at Gate 1</w:t>
      </w:r>
    </w:p>
    <w:p>
      <w:pPr>
        <w:pStyle w:val="ListNumber"/>
        <w:spacing w:after="60"/>
      </w:pPr>
      <w:r>
        <w:rPr>
          <w:b w:val="0"/>
          <w:i w:val="0"/>
          <w:sz w:val="20"/>
        </w:rPr>
        <w:t>Assumptions on Which This Case Rests</w:t>
      </w:r>
    </w:p>
    <w:p>
      <w:pPr>
        <w:spacing w:after="120"/>
      </w:pPr>
      <w:r>
        <w:rPr>
          <w:b w:val="0"/>
          <w:i w:val="0"/>
          <w:sz w:val="20"/>
        </w:rPr>
        <w:t>Part V — The Decision</w:t>
      </w:r>
    </w:p>
    <w:p>
      <w:pPr>
        <w:pStyle w:val="ListNumber"/>
        <w:spacing w:after="60"/>
      </w:pPr>
      <w:r>
        <w:rPr>
          <w:b w:val="0"/>
          <w:i w:val="0"/>
          <w:sz w:val="20"/>
        </w:rPr>
        <w:t>Dissent Tabled With This Package</w:t>
      </w:r>
    </w:p>
    <w:p>
      <w:pPr>
        <w:pStyle w:val="ListNumber"/>
        <w:spacing w:after="60"/>
      </w:pPr>
      <w:r>
        <w:rPr>
          <w:b w:val="0"/>
          <w:i w:val="0"/>
          <w:sz w:val="20"/>
        </w:rPr>
        <w:t>Scored Assessment &amp; Outcome</w:t>
      </w:r>
    </w:p>
    <w:p>
      <w:pPr>
        <w:pStyle w:val="ListNumber"/>
        <w:spacing w:after="60"/>
      </w:pPr>
      <w:r>
        <w:rPr>
          <w:b w:val="0"/>
          <w:i w:val="0"/>
          <w:sz w:val="20"/>
        </w:rPr>
        <w:t>Conditions Issued</w:t>
      </w:r>
    </w:p>
    <w:p>
      <w:pPr>
        <w:pStyle w:val="ListNumber"/>
        <w:spacing w:after="60"/>
      </w:pPr>
      <w:r>
        <w:rPr>
          <w:b w:val="0"/>
          <w:i w:val="0"/>
          <w:sz w:val="20"/>
        </w:rPr>
        <w:t>Document Control</w:t>
      </w:r>
    </w:p>
    <w:p>
      <w:pPr>
        <w:spacing w:before="360"/>
      </w:pPr>
      <w:r>
        <w:rPr>
          <w:b/>
          <w:i w:val="0"/>
          <w:color w:val="1E5945"/>
          <w:sz w:val="22"/>
        </w:rPr>
        <w:t>Part I — The Ask</w:t>
      </w:r>
    </w:p>
    <w:p>
      <w:pPr>
        <w:spacing w:before="280" w:after="80"/>
      </w:pPr>
      <w:r>
        <w:rPr>
          <w:b/>
          <w:i w:val="0"/>
          <w:color w:val="14352A"/>
          <w:sz w:val="28"/>
        </w:rPr>
        <w:t>1. Recommendation &amp; Decision Sought</w:t>
      </w:r>
    </w:p>
    <w:p>
      <w:pPr>
        <w:spacing w:after="120"/>
      </w:pPr>
      <w:r>
        <w:rPr>
          <w:b w:val="0"/>
          <w:i w:val="0"/>
          <w:sz w:val="20"/>
        </w:rPr>
        <w:t>The Board is asked to release $11,640,000 to build, price and prepare for filing a fixed indexed annuity with an optional guaranteed lifetime withdrawal benefit rider, for launch on 06 March 2028. On the corrected capital charge the product returns 13.4% against an 11.0% hurdle — a margin of 240 basis points, which is positive but not comfortable, and this package does not present it as comfortable.</w:t>
      </w:r>
    </w:p>
    <w:p>
      <w:pPr>
        <w:spacing w:after="120"/>
      </w:pPr>
      <w:r>
        <w:rPr>
          <w:b w:val="0"/>
          <w:i w:val="0"/>
          <w:sz w:val="20"/>
        </w:rPr>
        <w:t>Three things about this recommendation should be read together. The return clears the hurdle. It clears it by less than the first version of this package claimed. And it depends on volume assumptions of which 90.8% are now supported by written channel commitments, leaving $17,000,000 of Year 1 premium resting on channel expansion that has not yet been secured.</w:t>
      </w:r>
    </w:p>
    <w:p>
      <w:pPr>
        <w:spacing w:before="280" w:after="80"/>
      </w:pPr>
      <w:r>
        <w:rPr>
          <w:b/>
          <w:i w:val="0"/>
          <w:color w:val="14352A"/>
          <w:sz w:val="28"/>
        </w:rPr>
        <w:t>2. What Changed Since the First Convening</w:t>
      </w:r>
    </w:p>
    <w:p>
      <w:pPr>
        <w:spacing w:after="120"/>
      </w:pPr>
      <w:r>
        <w:rPr>
          <w:b w:val="0"/>
          <w:i w:val="0"/>
          <w:sz w:val="20"/>
        </w:rPr>
        <w:t xml:space="preserve">Gate 1 was first convened on 30 April 2026 and </w:t>
      </w:r>
      <w:r>
        <w:rPr>
          <w:b/>
          <w:i w:val="0"/>
          <w:sz w:val="20"/>
        </w:rPr>
        <w:t>recycled</w:t>
      </w:r>
      <w:r>
        <w:rPr>
          <w:b w:val="0"/>
          <w:i w:val="0"/>
          <w:sz w:val="20"/>
        </w:rPr>
        <w:t xml:space="preserve">. Under the </w:t>
      </w:r>
      <w:r>
        <w:rPr>
          <w:b w:val="0"/>
          <w:i w:val="0"/>
          <w:sz w:val="20"/>
        </w:rPr>
        <w:t>Gate Decision Framework</w:t>
      </w:r>
      <w:r>
        <w:rPr>
          <w:b w:val="0"/>
          <w:i w:val="0"/>
          <w:sz w:val="20"/>
        </w:rPr>
        <w:t xml:space="preserve"> the package was not scored, because two should-meet criteria were rated </w:t>
      </w:r>
      <w:r>
        <w:rPr>
          <w:b/>
          <w:i w:val="0"/>
          <w:sz w:val="20"/>
        </w:rPr>
        <w:t>U</w:t>
      </w:r>
      <w:r>
        <w:rPr>
          <w:b w:val="0"/>
          <w:i w:val="0"/>
          <w:sz w:val="20"/>
        </w:rPr>
        <w:t xml:space="preserve"> — unscoreable on the evidence presented. The Board did not form a view on the product. It declined to form one on that evidence.</w:t>
      </w:r>
    </w:p>
    <w:tbl>
      <w:tblPr>
        <w:tblStyle w:val="TableGrid"/>
        <w:tblW w:type="auto" w:w="0"/>
        <w:tblLook w:firstColumn="1" w:firstRow="1" w:lastColumn="0" w:lastRow="0" w:noHBand="0" w:noVBand="1" w:val="04A0"/>
      </w:tblPr>
      <w:tblGrid>
        <w:gridCol w:w="9648"/>
      </w:tblGrid>
      <w:tr>
        <w:tc>
          <w:tcPr>
            <w:tcW w:type="dxa" w:w="9648"/>
            <w:shd w:val="clear" w:fill="FDF3DF"/>
          </w:tcPr>
          <w:p>
            <w:pPr>
              <w:spacing w:before="200" w:after="80"/>
            </w:pPr>
            <w:r>
              <w:rPr>
                <w:b/>
                <w:i w:val="0"/>
                <w:color w:val="1B2130"/>
                <w:sz w:val="21"/>
              </w:rPr>
              <w:t xml:space="preserve">Change 1 — Distribution commitment: rated </w:t>
            </w:r>
            <w:r>
              <w:rPr>
                <w:b/>
                <w:i w:val="0"/>
                <w:color w:val="1B2130"/>
                <w:sz w:val="21"/>
              </w:rPr>
              <w:t>U</w:t>
            </w:r>
            <w:r>
              <w:rPr>
                <w:b/>
                <w:i w:val="0"/>
                <w:color w:val="1B2130"/>
                <w:sz w:val="21"/>
              </w:rPr>
              <w:t>, now evidenced</w:t>
            </w:r>
          </w:p>
          <w:p>
            <w:pPr>
              <w:spacing w:after="120"/>
            </w:pPr>
            <w:r>
              <w:rPr>
                <w:b w:val="0"/>
                <w:i w:val="0"/>
                <w:sz w:val="20"/>
              </w:rPr>
              <w:t>The first package built its volume forecast from internal channel modelling. No written commitment from any distribution partner was included, and the evidence standard does not accept a relationship manager's confidence in place of one.</w:t>
            </w:r>
          </w:p>
          <w:p>
            <w:pPr>
              <w:spacing w:after="120"/>
            </w:pPr>
            <w:r>
              <w:rPr>
                <w:b/>
                <w:i w:val="0"/>
                <w:sz w:val="20"/>
              </w:rPr>
              <w:t>Remediated:</w:t>
            </w:r>
            <w:r>
              <w:rPr>
                <w:b w:val="0"/>
                <w:i w:val="0"/>
                <w:sz w:val="20"/>
              </w:rPr>
              <w:t xml:space="preserve"> written Year 1 indications now held from three IMO partners totalling $168,000,000, or 90.8% of the Year 1 target — §7. The residual $17,000,000 gap is disclosed rather than closed, and is the subject of tabled dissent at §16.</w:t>
            </w:r>
          </w:p>
        </w:tc>
      </w:tr>
    </w:tbl>
    <w:p/>
    <w:tbl>
      <w:tblPr>
        <w:tblStyle w:val="TableGrid"/>
        <w:tblW w:type="auto" w:w="0"/>
        <w:tblLook w:firstColumn="1" w:firstRow="1" w:lastColumn="0" w:lastRow="0" w:noHBand="0" w:noVBand="1" w:val="04A0"/>
      </w:tblPr>
      <w:tblGrid>
        <w:gridCol w:w="9648"/>
      </w:tblGrid>
      <w:tr>
        <w:tc>
          <w:tcPr>
            <w:tcW w:type="dxa" w:w="9648"/>
            <w:shd w:val="clear" w:fill="FDF3DF"/>
          </w:tcPr>
          <w:p>
            <w:pPr>
              <w:spacing w:before="200" w:after="80"/>
            </w:pPr>
            <w:r>
              <w:rPr>
                <w:b/>
                <w:i w:val="0"/>
                <w:color w:val="1B2130"/>
                <w:sz w:val="21"/>
              </w:rPr>
              <w:t xml:space="preserve">Change 2 — Financial return: rated </w:t>
            </w:r>
            <w:r>
              <w:rPr>
                <w:b/>
                <w:i w:val="0"/>
                <w:color w:val="1B2130"/>
                <w:sz w:val="21"/>
              </w:rPr>
              <w:t>U</w:t>
            </w:r>
            <w:r>
              <w:rPr>
                <w:b/>
                <w:i w:val="0"/>
                <w:color w:val="1B2130"/>
                <w:sz w:val="21"/>
              </w:rPr>
              <w:t>, now recomputed</w:t>
            </w:r>
          </w:p>
          <w:p>
            <w:pPr>
              <w:spacing w:after="120"/>
            </w:pPr>
            <w:r>
              <w:rPr>
                <w:b w:val="0"/>
                <w:i w:val="0"/>
                <w:sz w:val="20"/>
              </w:rPr>
              <w:t>The return in the first package was computed on a capital charge that had been superseded. The output was of an admissible kind; its input was not current.</w:t>
            </w:r>
          </w:p>
          <w:p>
            <w:pPr>
              <w:spacing w:after="120"/>
            </w:pPr>
            <w:r>
              <w:rPr>
                <w:b/>
                <w:i w:val="0"/>
                <w:sz w:val="20"/>
              </w:rPr>
              <w:t>Remediated:</w:t>
            </w:r>
            <w:r>
              <w:rPr>
                <w:b w:val="0"/>
                <w:i w:val="0"/>
                <w:sz w:val="20"/>
              </w:rPr>
              <w:t xml:space="preserve"> recomputed on the current charge. </w:t>
            </w:r>
            <w:r>
              <w:rPr>
                <w:b/>
                <w:i w:val="0"/>
                <w:sz w:val="20"/>
              </w:rPr>
              <w:t>The product IRR falls from 14.6% to 13.4%.</w:t>
            </w:r>
            <w:r>
              <w:rPr>
                <w:b w:val="0"/>
                <w:i w:val="0"/>
                <w:sz w:val="20"/>
              </w:rPr>
              <w:t xml:space="preserve"> The case still clears the hurdle, but by 240 basis points rather than 360.</w:t>
            </w:r>
          </w:p>
        </w:tc>
      </w:tr>
    </w:tbl>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The recycle changed the answer, not just the paperwork.</w:t>
            </w:r>
            <w:r>
              <w:rPr>
                <w:b w:val="0"/>
                <w:i w:val="0"/>
                <w:sz w:val="20"/>
              </w:rPr>
              <w:t xml:space="preserve"> A 120 basis point reduction in projected return is not a presentational correction. Had the first package been scored on its stated numbers it would have cleared the conditions band and released $11,640,000 on a return that was overstated and a volume forecast that no partner had confirmed. The loop cost six weeks and $232,000, recorded as issue </w:t>
            </w:r>
            <w:r>
              <w:rPr>
                <w:b/>
                <w:i w:val="0"/>
                <w:sz w:val="20"/>
              </w:rPr>
              <w:t>I-01</w:t>
            </w:r>
            <w:r>
              <w:rPr>
                <w:b w:val="0"/>
                <w:i w:val="0"/>
                <w:sz w:val="20"/>
              </w:rPr>
              <w:t xml:space="preserve">. </w:t>
            </w:r>
          </w:p>
        </w:tc>
      </w:tr>
    </w:tbl>
    <w:p/>
    <w:p>
      <w:pPr>
        <w:spacing w:before="280" w:after="80"/>
      </w:pPr>
      <w:r>
        <w:rPr>
          <w:b/>
          <w:i w:val="0"/>
          <w:color w:val="14352A"/>
          <w:sz w:val="28"/>
        </w:rPr>
        <w:t>3. Must-Meet Certification</w:t>
      </w:r>
    </w:p>
    <w:p>
      <w:pPr>
        <w:spacing w:after="120"/>
      </w:pPr>
      <w:r>
        <w:rPr>
          <w:b w:val="0"/>
          <w:i w:val="0"/>
          <w:sz w:val="20"/>
        </w:rPr>
        <w:t>All five Gate 1 must-meet criteria are certified. Each is answered by a named accountable party.</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Must-meet</w:t>
            </w:r>
          </w:p>
        </w:tc>
        <w:tc>
          <w:tcPr>
            <w:tcW w:type="dxa" w:w="3216"/>
            <w:shd w:val="clear" w:fill="14352A"/>
          </w:tcPr>
          <w:p>
            <w:pPr>
              <w:spacing w:before="40" w:after="40"/>
            </w:pPr>
            <w:r>
              <w:rPr>
                <w:b/>
                <w:i w:val="0"/>
                <w:color w:val="FFFFFF"/>
                <w:sz w:val="17"/>
              </w:rPr>
              <w:t>Certified by</w:t>
            </w:r>
          </w:p>
        </w:tc>
        <w:tc>
          <w:tcPr>
            <w:tcW w:type="dxa" w:w="3216"/>
            <w:shd w:val="clear" w:fill="14352A"/>
          </w:tcPr>
          <w:p>
            <w:pPr>
              <w:spacing w:before="40" w:after="40"/>
            </w:pPr>
            <w:r>
              <w:rPr>
                <w:b/>
                <w:i w:val="0"/>
                <w:color w:val="FFFFFF"/>
                <w:sz w:val="17"/>
              </w:rPr>
              <w:t>Status</w:t>
            </w:r>
          </w:p>
        </w:tc>
      </w:tr>
      <w:tr>
        <w:tc>
          <w:tcPr>
            <w:tcW w:type="dxa" w:w="3216"/>
          </w:tcPr>
          <w:p>
            <w:pPr>
              <w:spacing w:before="40" w:after="40"/>
            </w:pPr>
            <w:r>
              <w:rPr>
                <w:b w:val="0"/>
                <w:i w:val="0"/>
                <w:sz w:val="17"/>
              </w:rPr>
              <w:t>Product can be filed in the assumed regulatory lane</w:t>
            </w:r>
          </w:p>
        </w:tc>
        <w:tc>
          <w:tcPr>
            <w:tcW w:type="dxa" w:w="3216"/>
          </w:tcPr>
          <w:p>
            <w:pPr>
              <w:spacing w:before="40" w:after="40"/>
            </w:pPr>
            <w:r>
              <w:rPr>
                <w:b w:val="0"/>
                <w:i w:val="0"/>
                <w:sz w:val="17"/>
              </w:rPr>
              <w:t>B. Lindqvist, GC &amp; CCO</w:t>
            </w:r>
          </w:p>
        </w:tc>
        <w:tc>
          <w:tcPr>
            <w:tcW w:type="dxa" w:w="3216"/>
          </w:tcPr>
          <w:p>
            <w:pPr>
              <w:spacing w:before="40" w:after="40"/>
            </w:pPr>
            <w:r>
              <w:rPr>
                <w:b w:val="0"/>
                <w:i w:val="0"/>
                <w:sz w:val="17"/>
              </w:rPr>
              <w:t>Yes</w:t>
            </w:r>
            <w:r>
              <w:rPr>
                <w:b w:val="0"/>
                <w:i w:val="0"/>
                <w:sz w:val="17"/>
              </w:rPr>
              <w:t xml:space="preserve"> — non-registered, Compact route (§13)</w:t>
            </w:r>
          </w:p>
        </w:tc>
      </w:tr>
      <w:tr>
        <w:tc>
          <w:tcPr>
            <w:tcW w:type="dxa" w:w="3216"/>
          </w:tcPr>
          <w:p>
            <w:pPr>
              <w:spacing w:before="40" w:after="40"/>
            </w:pPr>
            <w:r>
              <w:rPr>
                <w:b w:val="0"/>
                <w:i w:val="0"/>
                <w:sz w:val="17"/>
              </w:rPr>
              <w:t>A pricing basis exists that clears the hurdle on a current capital charge</w:t>
            </w:r>
          </w:p>
        </w:tc>
        <w:tc>
          <w:tcPr>
            <w:tcW w:type="dxa" w:w="3216"/>
          </w:tcPr>
          <w:p>
            <w:pPr>
              <w:spacing w:before="40" w:after="40"/>
            </w:pPr>
            <w:r>
              <w:rPr>
                <w:b w:val="0"/>
                <w:i w:val="0"/>
                <w:sz w:val="17"/>
              </w:rPr>
              <w:t>N. Adeyemi, Chief Actuary</w:t>
            </w:r>
          </w:p>
        </w:tc>
        <w:tc>
          <w:tcPr>
            <w:tcW w:type="dxa" w:w="3216"/>
          </w:tcPr>
          <w:p>
            <w:pPr>
              <w:spacing w:before="40" w:after="40"/>
            </w:pPr>
            <w:r>
              <w:rPr>
                <w:b w:val="0"/>
                <w:i w:val="0"/>
                <w:sz w:val="17"/>
              </w:rPr>
              <w:t>Yes</w:t>
            </w:r>
            <w:r>
              <w:rPr>
                <w:b w:val="0"/>
                <w:i w:val="0"/>
                <w:sz w:val="17"/>
              </w:rPr>
              <w:t xml:space="preserve"> — 13.4% vs 11.0%</w:t>
            </w:r>
          </w:p>
        </w:tc>
      </w:tr>
      <w:tr>
        <w:tc>
          <w:tcPr>
            <w:tcW w:type="dxa" w:w="3216"/>
          </w:tcPr>
          <w:p>
            <w:pPr>
              <w:spacing w:before="40" w:after="40"/>
            </w:pPr>
            <w:r>
              <w:rPr>
                <w:b w:val="0"/>
                <w:i w:val="0"/>
                <w:sz w:val="17"/>
              </w:rPr>
              <w:t>The guarantee can be hedged with in-house capability</w:t>
            </w:r>
          </w:p>
        </w:tc>
        <w:tc>
          <w:tcPr>
            <w:tcW w:type="dxa" w:w="3216"/>
          </w:tcPr>
          <w:p>
            <w:pPr>
              <w:spacing w:before="40" w:after="40"/>
            </w:pPr>
            <w:r>
              <w:rPr>
                <w:b w:val="0"/>
                <w:i w:val="0"/>
                <w:sz w:val="17"/>
              </w:rPr>
              <w:t>M. Delacroix, Director ALM &amp; Hedging</w:t>
            </w:r>
          </w:p>
        </w:tc>
        <w:tc>
          <w:tcPr>
            <w:tcW w:type="dxa" w:w="3216"/>
          </w:tcPr>
          <w:p>
            <w:pPr>
              <w:spacing w:before="40" w:after="40"/>
            </w:pPr>
            <w:r>
              <w:rPr>
                <w:b w:val="0"/>
                <w:i w:val="0"/>
                <w:sz w:val="17"/>
              </w:rPr>
              <w:t>Yes</w:t>
            </w:r>
            <w:r>
              <w:rPr>
                <w:b w:val="0"/>
                <w:i w:val="0"/>
                <w:sz w:val="17"/>
              </w:rPr>
              <w:t xml:space="preserve"> — with readiness plan due at Gate 2</w:t>
            </w:r>
          </w:p>
        </w:tc>
      </w:tr>
      <w:tr>
        <w:tc>
          <w:tcPr>
            <w:tcW w:type="dxa" w:w="3216"/>
          </w:tcPr>
          <w:p>
            <w:pPr>
              <w:spacing w:before="40" w:after="40"/>
            </w:pPr>
            <w:r>
              <w:rPr>
                <w:b w:val="0"/>
                <w:i w:val="0"/>
                <w:sz w:val="17"/>
              </w:rPr>
              <w:t>Written distribution appetite from at least three partners</w:t>
            </w:r>
          </w:p>
        </w:tc>
        <w:tc>
          <w:tcPr>
            <w:tcW w:type="dxa" w:w="3216"/>
          </w:tcPr>
          <w:p>
            <w:pPr>
              <w:spacing w:before="40" w:after="40"/>
            </w:pPr>
            <w:r>
              <w:rPr>
                <w:b w:val="0"/>
                <w:i w:val="0"/>
                <w:sz w:val="17"/>
              </w:rPr>
              <w:t>R. Castellanos, Head of Distribution</w:t>
            </w:r>
          </w:p>
        </w:tc>
        <w:tc>
          <w:tcPr>
            <w:tcW w:type="dxa" w:w="3216"/>
          </w:tcPr>
          <w:p>
            <w:pPr>
              <w:spacing w:before="40" w:after="40"/>
            </w:pPr>
            <w:r>
              <w:rPr>
                <w:b w:val="0"/>
                <w:i w:val="0"/>
                <w:sz w:val="17"/>
              </w:rPr>
              <w:t>Yes</w:t>
            </w:r>
            <w:r>
              <w:rPr>
                <w:b w:val="0"/>
                <w:i w:val="0"/>
                <w:sz w:val="17"/>
              </w:rPr>
              <w:t xml:space="preserve"> — three IMOs, $168,000,000</w:t>
            </w:r>
          </w:p>
        </w:tc>
      </w:tr>
      <w:tr>
        <w:tc>
          <w:tcPr>
            <w:tcW w:type="dxa" w:w="3216"/>
          </w:tcPr>
          <w:p>
            <w:pPr>
              <w:spacing w:before="40" w:after="40"/>
            </w:pPr>
            <w:r>
              <w:rPr>
                <w:b w:val="0"/>
                <w:i w:val="0"/>
                <w:sz w:val="17"/>
              </w:rPr>
              <w:t>Required capital available without displacing a committed use</w:t>
            </w:r>
          </w:p>
        </w:tc>
        <w:tc>
          <w:tcPr>
            <w:tcW w:type="dxa" w:w="3216"/>
          </w:tcPr>
          <w:p>
            <w:pPr>
              <w:spacing w:before="40" w:after="40"/>
            </w:pPr>
            <w:r>
              <w:rPr>
                <w:b w:val="0"/>
                <w:i w:val="0"/>
                <w:sz w:val="17"/>
              </w:rPr>
              <w:t>J. Whitmore, CFO</w:t>
            </w:r>
          </w:p>
        </w:tc>
        <w:tc>
          <w:tcPr>
            <w:tcW w:type="dxa" w:w="3216"/>
          </w:tcPr>
          <w:p>
            <w:pPr>
              <w:spacing w:before="40" w:after="40"/>
            </w:pPr>
            <w:r>
              <w:rPr>
                <w:b w:val="0"/>
                <w:i w:val="0"/>
                <w:sz w:val="17"/>
              </w:rPr>
              <w:t>Yes</w:t>
            </w:r>
            <w:r>
              <w:rPr>
                <w:b w:val="0"/>
                <w:i w:val="0"/>
                <w:sz w:val="17"/>
              </w:rPr>
              <w:t xml:space="preserve"> — $7,770,000 Year 1</w:t>
            </w:r>
          </w:p>
        </w:tc>
      </w:tr>
    </w:tbl>
    <w:p/>
    <w:p>
      <w:pPr>
        <w:spacing w:before="360"/>
      </w:pPr>
      <w:r>
        <w:rPr>
          <w:b/>
          <w:i w:val="0"/>
          <w:color w:val="1E5945"/>
          <w:sz w:val="22"/>
        </w:rPr>
        <w:t>Part II — Product &amp; Market</w:t>
      </w:r>
    </w:p>
    <w:p>
      <w:pPr>
        <w:spacing w:before="280" w:after="80"/>
      </w:pPr>
      <w:r>
        <w:rPr>
          <w:b/>
          <w:i w:val="0"/>
          <w:color w:val="14352A"/>
          <w:sz w:val="28"/>
        </w:rPr>
        <w:t>4. Product Concept &amp; Structure</w:t>
      </w:r>
    </w:p>
    <w:p>
      <w:pPr>
        <w:spacing w:after="120"/>
      </w:pPr>
      <w:r>
        <w:rPr>
          <w:b/>
          <w:i w:val="0"/>
          <w:sz w:val="20"/>
        </w:rPr>
        <w:t>Beacon Index Advantage</w:t>
      </w:r>
      <w:r>
        <w:rPr>
          <w:b w:val="0"/>
          <w:i w:val="0"/>
          <w:sz w:val="20"/>
        </w:rPr>
        <w:t xml:space="preserve"> is a single-premium deferred fixed indexed annuity. The contract credits interest linked to the performance of an external index subject to a cap, with principal protected against index loss. It is </w:t>
      </w:r>
      <w:r>
        <w:rPr>
          <w:b/>
          <w:i w:val="0"/>
          <w:sz w:val="20"/>
        </w:rPr>
        <w:t>not</w:t>
      </w:r>
      <w:r>
        <w:rPr>
          <w:b w:val="0"/>
          <w:i w:val="0"/>
          <w:sz w:val="20"/>
        </w:rPr>
        <w:t xml:space="preserve"> a registered product: the contract owner has no direct exposure to a securities account and no negative index participation, which keeps the product outside securities registration and inside the state insurance filing lane (</w:t>
      </w:r>
      <w:r>
        <w:rPr>
          <w:b/>
          <w:i w:val="0"/>
          <w:sz w:val="20"/>
        </w:rPr>
        <w:t>D-01</w:t>
      </w:r>
      <w:r>
        <w:rPr>
          <w:b w:val="0"/>
          <w:i w:val="0"/>
          <w:sz w:val="20"/>
        </w:rPr>
        <w:t>).</w:t>
      </w:r>
    </w:p>
    <w:p>
      <w:pPr>
        <w:spacing w:before="200" w:after="80"/>
      </w:pPr>
      <w:r>
        <w:rPr>
          <w:b/>
          <w:i w:val="0"/>
          <w:color w:val="1B2130"/>
          <w:sz w:val="21"/>
        </w:rPr>
        <w:t>4.1 Structure at launch</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Element</w:t>
            </w:r>
          </w:p>
        </w:tc>
        <w:tc>
          <w:tcPr>
            <w:tcW w:type="dxa" w:w="4824"/>
            <w:shd w:val="clear" w:fill="14352A"/>
          </w:tcPr>
          <w:p>
            <w:pPr>
              <w:spacing w:before="40" w:after="40"/>
            </w:pPr>
            <w:r>
              <w:rPr>
                <w:b/>
                <w:i w:val="0"/>
                <w:color w:val="FFFFFF"/>
                <w:sz w:val="17"/>
              </w:rPr>
              <w:t>At launch</w:t>
            </w:r>
          </w:p>
        </w:tc>
      </w:tr>
      <w:tr>
        <w:tc>
          <w:tcPr>
            <w:tcW w:type="dxa" w:w="4824"/>
          </w:tcPr>
          <w:p>
            <w:pPr>
              <w:spacing w:before="40" w:after="40"/>
            </w:pPr>
            <w:r>
              <w:rPr>
                <w:b w:val="0"/>
                <w:i w:val="0"/>
                <w:sz w:val="17"/>
              </w:rPr>
              <w:t>Premium</w:t>
            </w:r>
          </w:p>
        </w:tc>
        <w:tc>
          <w:tcPr>
            <w:tcW w:type="dxa" w:w="4824"/>
          </w:tcPr>
          <w:p>
            <w:pPr>
              <w:spacing w:before="40" w:after="40"/>
            </w:pPr>
            <w:r>
              <w:rPr>
                <w:b w:val="0"/>
                <w:i w:val="0"/>
                <w:sz w:val="17"/>
              </w:rPr>
              <w:t>Single premium; minimum consistent with the existing annuity line</w:t>
            </w:r>
          </w:p>
        </w:tc>
      </w:tr>
      <w:tr>
        <w:tc>
          <w:tcPr>
            <w:tcW w:type="dxa" w:w="4824"/>
          </w:tcPr>
          <w:p>
            <w:pPr>
              <w:spacing w:before="40" w:after="40"/>
            </w:pPr>
            <w:r>
              <w:rPr>
                <w:b w:val="0"/>
                <w:i w:val="0"/>
                <w:sz w:val="17"/>
              </w:rPr>
              <w:t>Surrender charge period</w:t>
            </w:r>
          </w:p>
        </w:tc>
        <w:tc>
          <w:tcPr>
            <w:tcW w:type="dxa" w:w="4824"/>
          </w:tcPr>
          <w:p>
            <w:pPr>
              <w:spacing w:before="40" w:after="40"/>
            </w:pPr>
            <w:r>
              <w:rPr>
                <w:b w:val="0"/>
                <w:i w:val="0"/>
                <w:sz w:val="17"/>
              </w:rPr>
              <w:t>Seven years, declining</w:t>
            </w:r>
          </w:p>
        </w:tc>
      </w:tr>
      <w:tr>
        <w:tc>
          <w:tcPr>
            <w:tcW w:type="dxa" w:w="4824"/>
          </w:tcPr>
          <w:p>
            <w:pPr>
              <w:spacing w:before="40" w:after="40"/>
            </w:pPr>
            <w:r>
              <w:rPr>
                <w:b w:val="0"/>
                <w:i w:val="0"/>
                <w:sz w:val="17"/>
              </w:rPr>
              <w:t>Crediting strategies</w:t>
            </w:r>
          </w:p>
        </w:tc>
        <w:tc>
          <w:tcPr>
            <w:tcW w:type="dxa" w:w="4824"/>
          </w:tcPr>
          <w:p>
            <w:pPr>
              <w:spacing w:before="40" w:after="40"/>
            </w:pPr>
            <w:r>
              <w:rPr>
                <w:b/>
                <w:i w:val="0"/>
                <w:sz w:val="17"/>
              </w:rPr>
              <w:t>Three</w:t>
            </w:r>
            <w:r>
              <w:rPr>
                <w:b w:val="0"/>
                <w:i w:val="0"/>
                <w:sz w:val="17"/>
              </w:rPr>
              <w:t xml:space="preserve"> — fixed account, one-year point-to-point on the Calder Balanced 5 Index with a cap, and a one-year performance-triggered strategy (</w:t>
            </w:r>
            <w:r>
              <w:rPr>
                <w:b/>
                <w:i w:val="0"/>
                <w:sz w:val="17"/>
              </w:rPr>
              <w:t>D-03</w:t>
            </w:r>
            <w:r>
              <w:rPr>
                <w:b w:val="0"/>
                <w:i w:val="0"/>
                <w:sz w:val="17"/>
              </w:rPr>
              <w:t xml:space="preserve">, condition </w:t>
            </w:r>
            <w:r>
              <w:rPr>
                <w:b/>
                <w:i w:val="0"/>
                <w:sz w:val="17"/>
              </w:rPr>
              <w:t>GC-01</w:t>
            </w:r>
            <w:r>
              <w:rPr>
                <w:b w:val="0"/>
                <w:i w:val="0"/>
                <w:sz w:val="17"/>
              </w:rPr>
              <w:t>)</w:t>
            </w:r>
          </w:p>
        </w:tc>
      </w:tr>
      <w:tr>
        <w:tc>
          <w:tcPr>
            <w:tcW w:type="dxa" w:w="4824"/>
          </w:tcPr>
          <w:p>
            <w:pPr>
              <w:spacing w:before="40" w:after="40"/>
            </w:pPr>
            <w:r>
              <w:rPr>
                <w:b w:val="0"/>
                <w:i w:val="0"/>
                <w:sz w:val="17"/>
              </w:rPr>
              <w:t>Guaranteed lifetime withdrawal benefit</w:t>
            </w:r>
          </w:p>
        </w:tc>
        <w:tc>
          <w:tcPr>
            <w:tcW w:type="dxa" w:w="4824"/>
          </w:tcPr>
          <w:p>
            <w:pPr>
              <w:spacing w:before="40" w:after="40"/>
            </w:pPr>
            <w:r>
              <w:rPr>
                <w:b/>
                <w:i w:val="0"/>
                <w:sz w:val="17"/>
              </w:rPr>
              <w:t>Optional rider</w:t>
            </w:r>
            <w:r>
              <w:rPr>
                <w:b w:val="0"/>
                <w:i w:val="0"/>
                <w:sz w:val="17"/>
              </w:rPr>
              <w:t xml:space="preserve"> for an explicit charge, not embedded in the base contract (</w:t>
            </w:r>
            <w:r>
              <w:rPr>
                <w:b/>
                <w:i w:val="0"/>
                <w:sz w:val="17"/>
              </w:rPr>
              <w:t>D-05</w:t>
            </w:r>
            <w:r>
              <w:rPr>
                <w:b w:val="0"/>
                <w:i w:val="0"/>
                <w:sz w:val="17"/>
              </w:rPr>
              <w:t>)</w:t>
            </w:r>
          </w:p>
        </w:tc>
      </w:tr>
      <w:tr>
        <w:tc>
          <w:tcPr>
            <w:tcW w:type="dxa" w:w="4824"/>
          </w:tcPr>
          <w:p>
            <w:pPr>
              <w:spacing w:before="40" w:after="40"/>
            </w:pPr>
            <w:r>
              <w:rPr>
                <w:b w:val="0"/>
                <w:i w:val="0"/>
                <w:sz w:val="17"/>
              </w:rPr>
              <w:t>Illustrated cap at pricing</w:t>
            </w:r>
          </w:p>
        </w:tc>
        <w:tc>
          <w:tcPr>
            <w:tcW w:type="dxa" w:w="4824"/>
          </w:tcPr>
          <w:p>
            <w:pPr>
              <w:spacing w:before="40" w:after="40"/>
            </w:pPr>
            <w:r>
              <w:rPr>
                <w:b w:val="0"/>
                <w:i w:val="0"/>
                <w:sz w:val="17"/>
              </w:rPr>
              <w:t>9.2% on the indexed point-to-point strategy</w:t>
            </w:r>
          </w:p>
        </w:tc>
      </w:tr>
    </w:tbl>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Why three strategies and not five.</w:t>
            </w:r>
            <w:r>
              <w:rPr>
                <w:b w:val="0"/>
                <w:i w:val="0"/>
                <w:sz w:val="20"/>
              </w:rPr>
              <w:t xml:space="preserve"> The concept carried five at Gate 0. Two were removed before this package because the illustration engine cannot produce compliant hypothetical performance for the structures they required (</w:t>
            </w:r>
            <w:r>
              <w:rPr>
                <w:b/>
                <w:i w:val="0"/>
                <w:sz w:val="20"/>
              </w:rPr>
              <w:t>I-02</w:t>
            </w:r>
            <w:r>
              <w:rPr>
                <w:b w:val="0"/>
                <w:i w:val="0"/>
                <w:sz w:val="20"/>
              </w:rPr>
              <w:t xml:space="preserve">), and building that capability was not justified by their forecast contribution. This is a scope cancel, recorded as </w:t>
            </w:r>
            <w:r>
              <w:rPr>
                <w:b/>
                <w:i w:val="0"/>
                <w:sz w:val="20"/>
              </w:rPr>
              <w:t>D-03</w:t>
            </w:r>
            <w:r>
              <w:rPr>
                <w:b w:val="0"/>
                <w:i w:val="0"/>
                <w:sz w:val="20"/>
              </w:rPr>
              <w:t xml:space="preserve"> and carried as condition </w:t>
            </w:r>
            <w:r>
              <w:rPr>
                <w:b/>
                <w:i w:val="0"/>
                <w:sz w:val="20"/>
              </w:rPr>
              <w:t>GC-01</w:t>
            </w:r>
            <w:r>
              <w:rPr>
                <w:b w:val="0"/>
                <w:i w:val="0"/>
                <w:sz w:val="20"/>
              </w:rPr>
              <w:t xml:space="preserve"> — the two strategies are not deferred, they are out. </w:t>
            </w:r>
          </w:p>
        </w:tc>
      </w:tr>
    </w:tbl>
    <w:p/>
    <w:p>
      <w:pPr>
        <w:spacing w:before="280" w:after="80"/>
      </w:pPr>
      <w:r>
        <w:rPr>
          <w:b/>
          <w:i w:val="0"/>
          <w:color w:val="14352A"/>
          <w:sz w:val="28"/>
        </w:rPr>
        <w:t>5. Target Market</w:t>
      </w:r>
    </w:p>
    <w:p>
      <w:pPr>
        <w:spacing w:after="120"/>
      </w:pPr>
      <w:r>
        <w:rPr>
          <w:b w:val="0"/>
          <w:i w:val="0"/>
          <w:sz w:val="20"/>
        </w:rPr>
        <w:t>The product targets pre-retirees and early retirees between roughly 55 and 70 holding qualified and non-qualified savings, seeking principal protection with some participation in index growth, and — for the rider cohort — a contractual income floor they cannot outlive.</w:t>
      </w:r>
    </w:p>
    <w:p>
      <w:pPr>
        <w:spacing w:after="120"/>
      </w:pPr>
      <w:r>
        <w:rPr>
          <w:b w:val="0"/>
          <w:i w:val="0"/>
          <w:sz w:val="20"/>
        </w:rPr>
        <w:t>Average case size is modelled at $118,000, consistent with the carrier's existing annuity block. Rider election is modelled at 62.0%, which materially affects both pricing and hedging: the rider cohort is the source of the guarantee exposure and of most of the product's fee income.</w:t>
      </w:r>
    </w:p>
    <w:p>
      <w:pPr>
        <w:spacing w:before="280" w:after="80"/>
      </w:pPr>
      <w:r>
        <w:rPr>
          <w:b/>
          <w:i w:val="0"/>
          <w:color w:val="14352A"/>
          <w:sz w:val="28"/>
        </w:rPr>
        <w:t>6. Competitive Position</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Measure</w:t>
            </w:r>
          </w:p>
        </w:tc>
        <w:tc>
          <w:tcPr>
            <w:tcW w:type="dxa" w:w="2412"/>
            <w:shd w:val="clear" w:fill="14352A"/>
          </w:tcPr>
          <w:p>
            <w:pPr>
              <w:spacing w:before="40" w:after="40"/>
            </w:pPr>
            <w:r>
              <w:rPr>
                <w:b/>
                <w:i w:val="0"/>
                <w:color w:val="FFFFFF"/>
                <w:sz w:val="17"/>
              </w:rPr>
              <w:t>Beacon Index Advantage</w:t>
            </w:r>
          </w:p>
        </w:tc>
        <w:tc>
          <w:tcPr>
            <w:tcW w:type="dxa" w:w="2412"/>
            <w:shd w:val="clear" w:fill="14352A"/>
          </w:tcPr>
          <w:p>
            <w:pPr>
              <w:spacing w:before="40" w:after="40"/>
            </w:pPr>
            <w:r>
              <w:rPr>
                <w:b/>
                <w:i w:val="0"/>
                <w:color w:val="FFFFFF"/>
                <w:sz w:val="17"/>
              </w:rPr>
              <w:t>Peer set median</w:t>
            </w:r>
          </w:p>
        </w:tc>
        <w:tc>
          <w:tcPr>
            <w:tcW w:type="dxa" w:w="2412"/>
            <w:shd w:val="clear" w:fill="14352A"/>
          </w:tcPr>
          <w:p>
            <w:pPr>
              <w:spacing w:before="40" w:after="40"/>
            </w:pPr>
            <w:r>
              <w:rPr>
                <w:b/>
                <w:i w:val="0"/>
                <w:color w:val="FFFFFF"/>
                <w:sz w:val="17"/>
              </w:rPr>
              <w:t>Floor agreed at this gate</w:t>
            </w:r>
          </w:p>
        </w:tc>
      </w:tr>
      <w:tr>
        <w:tc>
          <w:tcPr>
            <w:tcW w:type="dxa" w:w="2412"/>
          </w:tcPr>
          <w:p>
            <w:pPr>
              <w:spacing w:before="40" w:after="40"/>
            </w:pPr>
            <w:r>
              <w:rPr>
                <w:b w:val="0"/>
                <w:i w:val="0"/>
                <w:sz w:val="17"/>
              </w:rPr>
              <w:t>Illustrated cap, 1-year point-to-point</w:t>
            </w:r>
          </w:p>
        </w:tc>
        <w:tc>
          <w:tcPr>
            <w:tcW w:type="dxa" w:w="2412"/>
          </w:tcPr>
          <w:p>
            <w:pPr>
              <w:spacing w:before="40" w:after="40"/>
            </w:pPr>
            <w:r>
              <w:rPr>
                <w:b/>
                <w:i w:val="0"/>
                <w:sz w:val="17"/>
              </w:rPr>
              <w:t>9.2%</w:t>
            </w:r>
          </w:p>
        </w:tc>
        <w:tc>
          <w:tcPr>
            <w:tcW w:type="dxa" w:w="2412"/>
          </w:tcPr>
          <w:p>
            <w:pPr>
              <w:spacing w:before="40" w:after="40"/>
            </w:pPr>
            <w:r>
              <w:rPr>
                <w:b w:val="0"/>
                <w:i w:val="0"/>
                <w:sz w:val="17"/>
              </w:rPr>
              <w:t>9.0%</w:t>
            </w:r>
          </w:p>
        </w:tc>
        <w:tc>
          <w:tcPr>
            <w:tcW w:type="dxa" w:w="2412"/>
          </w:tcPr>
          <w:p>
            <w:pPr>
              <w:spacing w:before="40" w:after="40"/>
            </w:pPr>
            <w:r>
              <w:rPr>
                <w:b w:val="0"/>
                <w:i w:val="0"/>
                <w:sz w:val="17"/>
              </w:rPr>
              <w:t>8.5%</w:t>
            </w:r>
          </w:p>
        </w:tc>
      </w:tr>
    </w:tbl>
    <w:p/>
    <w:p>
      <w:pPr>
        <w:spacing w:after="120"/>
      </w:pPr>
      <w:r>
        <w:rPr>
          <w:b w:val="0"/>
          <w:i w:val="0"/>
          <w:sz w:val="20"/>
        </w:rPr>
        <w:t>The product prices marginally above the peer median at current option costs. That margin is thin and it is not durable: the cap is funded by the option budget, and the option budget moves with rates and volatility between now and launch, twenty-one months out.</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The Board is asked to fix a competitive floor at this gate.</w:t>
            </w:r>
            <w:r>
              <w:rPr>
                <w:b w:val="0"/>
                <w:i w:val="0"/>
                <w:sz w:val="20"/>
              </w:rPr>
              <w:t xml:space="preserve"> The recommendation is 8.5%: if the illustrated cap cannot be supported at or above that level when Gate 2 convenes, the product should be re-priced or stopped rather than launched into the third quartile. Fixing the floor now, before anyone is attached to the launch date, is the point — see risk </w:t>
            </w:r>
            <w:r>
              <w:rPr>
                <w:b/>
                <w:i w:val="0"/>
                <w:sz w:val="20"/>
              </w:rPr>
              <w:t>R-03</w:t>
            </w:r>
            <w:r>
              <w:rPr>
                <w:b w:val="0"/>
                <w:i w:val="0"/>
                <w:sz w:val="20"/>
              </w:rPr>
              <w:t xml:space="preserve">. </w:t>
            </w:r>
          </w:p>
        </w:tc>
      </w:tr>
    </w:tbl>
    <w:p/>
    <w:p>
      <w:pPr>
        <w:spacing w:before="280" w:after="80"/>
      </w:pPr>
      <w:r>
        <w:rPr>
          <w:b/>
          <w:i w:val="0"/>
          <w:color w:val="14352A"/>
          <w:sz w:val="28"/>
        </w:rPr>
        <w:t>7. Distribution Plan &amp; Written Commitments</w:t>
      </w:r>
    </w:p>
    <w:p>
      <w:pPr>
        <w:spacing w:after="120"/>
      </w:pPr>
      <w:r>
        <w:rPr>
          <w:b w:val="0"/>
          <w:i w:val="0"/>
          <w:sz w:val="20"/>
        </w:rPr>
        <w:t>Distribution is through existing independent marketing organisation relationships. No new channel is being stood up (</w:t>
      </w:r>
      <w:r>
        <w:rPr>
          <w:b/>
          <w:i w:val="0"/>
          <w:sz w:val="20"/>
        </w:rPr>
        <w:t>A-05</w:t>
      </w:r>
      <w:r>
        <w:rPr>
          <w:b w:val="0"/>
          <w:i w:val="0"/>
          <w:sz w:val="20"/>
        </w:rPr>
        <w:t>).</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Partner</w:t>
            </w:r>
          </w:p>
        </w:tc>
        <w:tc>
          <w:tcPr>
            <w:tcW w:type="dxa" w:w="3216"/>
            <w:shd w:val="clear" w:fill="14352A"/>
          </w:tcPr>
          <w:p>
            <w:pPr>
              <w:spacing w:before="40" w:after="40"/>
            </w:pPr>
            <w:r>
              <w:rPr>
                <w:b/>
                <w:i w:val="0"/>
                <w:color w:val="FFFFFF"/>
                <w:sz w:val="17"/>
              </w:rPr>
              <w:t>Relationship</w:t>
            </w:r>
          </w:p>
        </w:tc>
        <w:tc>
          <w:tcPr>
            <w:tcW w:type="dxa" w:w="3216"/>
            <w:shd w:val="clear" w:fill="14352A"/>
          </w:tcPr>
          <w:p>
            <w:pPr>
              <w:spacing w:before="40" w:after="40"/>
            </w:pPr>
            <w:r>
              <w:rPr>
                <w:b/>
                <w:i w:val="0"/>
                <w:color w:val="FFFFFF"/>
                <w:sz w:val="17"/>
              </w:rPr>
              <w:t>Year 1 written indication</w:t>
            </w:r>
          </w:p>
        </w:tc>
      </w:tr>
      <w:tr>
        <w:tc>
          <w:tcPr>
            <w:tcW w:type="dxa" w:w="3216"/>
          </w:tcPr>
          <w:p>
            <w:pPr>
              <w:spacing w:before="40" w:after="40"/>
            </w:pPr>
            <w:r>
              <w:rPr>
                <w:b w:val="0"/>
                <w:i w:val="0"/>
                <w:sz w:val="17"/>
              </w:rPr>
              <w:t>Northgate Financial Group</w:t>
            </w:r>
          </w:p>
        </w:tc>
        <w:tc>
          <w:tcPr>
            <w:tcW w:type="dxa" w:w="3216"/>
          </w:tcPr>
          <w:p>
            <w:pPr>
              <w:spacing w:before="40" w:after="40"/>
            </w:pPr>
            <w:r>
              <w:rPr>
                <w:b w:val="0"/>
                <w:i w:val="0"/>
                <w:sz w:val="17"/>
              </w:rPr>
              <w:t>Existing, top-three producer on the current annuity line</w:t>
            </w:r>
          </w:p>
        </w:tc>
        <w:tc>
          <w:tcPr>
            <w:tcW w:type="dxa" w:w="3216"/>
          </w:tcPr>
          <w:p>
            <w:pPr>
              <w:spacing w:before="40" w:after="40"/>
            </w:pPr>
            <w:r>
              <w:rPr>
                <w:b w:val="0"/>
                <w:i w:val="0"/>
                <w:sz w:val="17"/>
              </w:rPr>
              <w:t>Written</w:t>
            </w:r>
          </w:p>
        </w:tc>
      </w:tr>
      <w:tr>
        <w:tc>
          <w:tcPr>
            <w:tcW w:type="dxa" w:w="3216"/>
          </w:tcPr>
          <w:p>
            <w:pPr>
              <w:spacing w:before="40" w:after="40"/>
            </w:pPr>
            <w:r>
              <w:rPr>
                <w:b w:val="0"/>
                <w:i w:val="0"/>
                <w:sz w:val="17"/>
              </w:rPr>
              <w:t>Sentinel Advisory Network</w:t>
            </w:r>
          </w:p>
        </w:tc>
        <w:tc>
          <w:tcPr>
            <w:tcW w:type="dxa" w:w="3216"/>
          </w:tcPr>
          <w:p>
            <w:pPr>
              <w:spacing w:before="40" w:after="40"/>
            </w:pPr>
            <w:r>
              <w:rPr>
                <w:b w:val="0"/>
                <w:i w:val="0"/>
                <w:sz w:val="17"/>
              </w:rPr>
              <w:t>Existing</w:t>
            </w:r>
          </w:p>
        </w:tc>
        <w:tc>
          <w:tcPr>
            <w:tcW w:type="dxa" w:w="3216"/>
          </w:tcPr>
          <w:p>
            <w:pPr>
              <w:spacing w:before="40" w:after="40"/>
            </w:pPr>
            <w:r>
              <w:rPr>
                <w:b w:val="0"/>
                <w:i w:val="0"/>
                <w:sz w:val="17"/>
              </w:rPr>
              <w:t>Written</w:t>
            </w:r>
          </w:p>
        </w:tc>
      </w:tr>
      <w:tr>
        <w:tc>
          <w:tcPr>
            <w:tcW w:type="dxa" w:w="3216"/>
          </w:tcPr>
          <w:p>
            <w:pPr>
              <w:spacing w:before="40" w:after="40"/>
            </w:pPr>
            <w:r>
              <w:rPr>
                <w:b w:val="0"/>
                <w:i w:val="0"/>
                <w:sz w:val="17"/>
              </w:rPr>
              <w:t>Copperfield Insurance Marketing</w:t>
            </w:r>
          </w:p>
        </w:tc>
        <w:tc>
          <w:tcPr>
            <w:tcW w:type="dxa" w:w="3216"/>
          </w:tcPr>
          <w:p>
            <w:pPr>
              <w:spacing w:before="40" w:after="40"/>
            </w:pPr>
            <w:r>
              <w:rPr>
                <w:b w:val="0"/>
                <w:i w:val="0"/>
                <w:sz w:val="17"/>
              </w:rPr>
              <w:t>Existing</w:t>
            </w:r>
          </w:p>
        </w:tc>
        <w:tc>
          <w:tcPr>
            <w:tcW w:type="dxa" w:w="3216"/>
          </w:tcPr>
          <w:p>
            <w:pPr>
              <w:spacing w:before="40" w:after="40"/>
            </w:pPr>
            <w:r>
              <w:rPr>
                <w:b w:val="0"/>
                <w:i w:val="0"/>
                <w:sz w:val="17"/>
              </w:rPr>
              <w:t>Written</w:t>
            </w:r>
          </w:p>
        </w:tc>
      </w:tr>
      <w:tr>
        <w:tc>
          <w:tcPr>
            <w:tcW w:type="dxa" w:w="6432"/>
            <w:gridSpan w:val="2"/>
          </w:tcPr>
          <w:p>
            <w:pPr>
              <w:spacing w:before="40" w:after="40"/>
            </w:pPr>
            <w:r>
              <w:rPr>
                <w:b/>
                <w:i w:val="0"/>
                <w:sz w:val="17"/>
              </w:rPr>
              <w:t>Combined Year 1 indication</w:t>
            </w:r>
          </w:p>
        </w:tc>
        <w:tc>
          <w:tcPr>
            <w:tcW w:type="dxa" w:w="3216"/>
          </w:tcPr>
          <w:p>
            <w:pPr>
              <w:spacing w:before="40" w:after="40"/>
            </w:pPr>
            <w:r>
              <w:rPr>
                <w:b/>
                <w:i w:val="0"/>
                <w:sz w:val="17"/>
              </w:rPr>
              <w:t>$168,000,000</w:t>
            </w:r>
            <w:r>
              <w:rPr>
                <w:b w:val="0"/>
                <w:i w:val="0"/>
                <w:sz w:val="17"/>
              </w:rPr>
              <w:t xml:space="preserve"> — 90.8% of the Year 1 target</w:t>
            </w:r>
          </w:p>
        </w:tc>
      </w:tr>
    </w:tbl>
    <w:p/>
    <w:p>
      <w:pPr>
        <w:spacing w:after="120"/>
      </w:pPr>
      <w:r>
        <w:rPr>
          <w:b w:val="0"/>
          <w:i w:val="0"/>
          <w:sz w:val="20"/>
        </w:rPr>
        <w:t xml:space="preserve">These commitments are the direct remediation of the first convening (§2) and are the evidence behind condition </w:t>
      </w:r>
      <w:r>
        <w:rPr>
          <w:b/>
          <w:i w:val="0"/>
          <w:sz w:val="20"/>
        </w:rPr>
        <w:t>GC-04</w:t>
      </w:r>
      <w:r>
        <w:rPr>
          <w:b w:val="0"/>
          <w:i w:val="0"/>
          <w:sz w:val="20"/>
        </w:rPr>
        <w:t>. They are indications of intended production, not contractual minimums; no IMO commits to a volume it cannot withdraw from.</w:t>
      </w:r>
    </w:p>
    <w:p>
      <w:pPr>
        <w:spacing w:after="120"/>
      </w:pPr>
      <w:r>
        <w:rPr>
          <w:b/>
          <w:i w:val="0"/>
          <w:sz w:val="20"/>
        </w:rPr>
        <w:t>The unclosed gap is $17,000,000.</w:t>
      </w:r>
      <w:r>
        <w:rPr>
          <w:b w:val="0"/>
          <w:i w:val="0"/>
          <w:sz w:val="20"/>
        </w:rPr>
        <w:t xml:space="preserve"> The plan closes it through channel expansion during Stage 3 and Stage 4. That plan is not evidenced at this gate and is the subject of dissent at §16.</w:t>
      </w:r>
    </w:p>
    <w:p>
      <w:pPr>
        <w:spacing w:before="360"/>
      </w:pPr>
      <w:r>
        <w:rPr>
          <w:b/>
          <w:i w:val="0"/>
          <w:color w:val="1E5945"/>
          <w:sz w:val="22"/>
        </w:rPr>
        <w:t>Part III — Economics</w:t>
      </w:r>
    </w:p>
    <w:p>
      <w:pPr>
        <w:spacing w:before="280" w:after="80"/>
      </w:pPr>
      <w:r>
        <w:rPr>
          <w:b/>
          <w:i w:val="0"/>
          <w:color w:val="14352A"/>
          <w:sz w:val="28"/>
        </w:rPr>
        <w:t>8. Volume Forecast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Period</w:t>
            </w:r>
          </w:p>
        </w:tc>
        <w:tc>
          <w:tcPr>
            <w:tcW w:type="dxa" w:w="2412"/>
            <w:shd w:val="clear" w:fill="14352A"/>
          </w:tcPr>
          <w:p>
            <w:pPr>
              <w:spacing w:before="40" w:after="40"/>
            </w:pPr>
            <w:r>
              <w:rPr>
                <w:b/>
                <w:i w:val="0"/>
                <w:color w:val="FFFFFF"/>
                <w:sz w:val="17"/>
              </w:rPr>
              <w:t>Premium</w:t>
            </w:r>
          </w:p>
        </w:tc>
        <w:tc>
          <w:tcPr>
            <w:tcW w:type="dxa" w:w="2412"/>
            <w:shd w:val="clear" w:fill="14352A"/>
          </w:tcPr>
          <w:p>
            <w:pPr>
              <w:spacing w:before="40" w:after="40"/>
            </w:pPr>
            <w:r>
              <w:rPr>
                <w:b/>
                <w:i w:val="0"/>
                <w:color w:val="FFFFFF"/>
                <w:sz w:val="17"/>
              </w:rPr>
              <w:t>Policies at $118,000 average</w:t>
            </w:r>
          </w:p>
        </w:tc>
        <w:tc>
          <w:tcPr>
            <w:tcW w:type="dxa" w:w="2412"/>
            <w:shd w:val="clear" w:fill="14352A"/>
          </w:tcPr>
          <w:p>
            <w:pPr>
              <w:spacing w:before="40" w:after="40"/>
            </w:pPr>
            <w:r>
              <w:rPr>
                <w:b/>
                <w:i w:val="0"/>
                <w:color w:val="FFFFFF"/>
                <w:sz w:val="17"/>
              </w:rPr>
              <w:t>Capital strain at 4.2%</w:t>
            </w:r>
          </w:p>
        </w:tc>
      </w:tr>
      <w:tr>
        <w:tc>
          <w:tcPr>
            <w:tcW w:type="dxa" w:w="2412"/>
          </w:tcPr>
          <w:p>
            <w:pPr>
              <w:spacing w:before="40" w:after="40"/>
            </w:pPr>
            <w:r>
              <w:rPr>
                <w:b w:val="0"/>
                <w:i w:val="0"/>
                <w:sz w:val="17"/>
              </w:rPr>
              <w:t>Year 1 (2028)</w:t>
            </w:r>
          </w:p>
        </w:tc>
        <w:tc>
          <w:tcPr>
            <w:tcW w:type="dxa" w:w="2412"/>
          </w:tcPr>
          <w:p>
            <w:pPr>
              <w:spacing w:before="40" w:after="40"/>
            </w:pPr>
            <w:r>
              <w:rPr>
                <w:b w:val="0"/>
                <w:i w:val="0"/>
                <w:sz w:val="17"/>
              </w:rPr>
              <w:t>$185,000,000</w:t>
            </w:r>
          </w:p>
        </w:tc>
        <w:tc>
          <w:tcPr>
            <w:tcW w:type="dxa" w:w="2412"/>
          </w:tcPr>
          <w:p>
            <w:pPr>
              <w:spacing w:before="40" w:after="40"/>
            </w:pPr>
            <w:r>
              <w:rPr>
                <w:b w:val="0"/>
                <w:i w:val="0"/>
                <w:sz w:val="17"/>
              </w:rPr>
              <w:t>1,568</w:t>
            </w:r>
          </w:p>
        </w:tc>
        <w:tc>
          <w:tcPr>
            <w:tcW w:type="dxa" w:w="2412"/>
          </w:tcPr>
          <w:p>
            <w:pPr>
              <w:spacing w:before="40" w:after="40"/>
            </w:pPr>
            <w:r>
              <w:rPr>
                <w:b w:val="0"/>
                <w:i w:val="0"/>
                <w:sz w:val="17"/>
              </w:rPr>
              <w:t>$7,770,000</w:t>
            </w:r>
          </w:p>
        </w:tc>
      </w:tr>
      <w:tr>
        <w:tc>
          <w:tcPr>
            <w:tcW w:type="dxa" w:w="2412"/>
          </w:tcPr>
          <w:p>
            <w:pPr>
              <w:spacing w:before="40" w:after="40"/>
            </w:pPr>
            <w:r>
              <w:rPr>
                <w:b w:val="0"/>
                <w:i w:val="0"/>
                <w:sz w:val="17"/>
              </w:rPr>
              <w:t>Year 2</w:t>
            </w:r>
          </w:p>
        </w:tc>
        <w:tc>
          <w:tcPr>
            <w:tcW w:type="dxa" w:w="2412"/>
          </w:tcPr>
          <w:p>
            <w:pPr>
              <w:spacing w:before="40" w:after="40"/>
            </w:pPr>
            <w:r>
              <w:rPr>
                <w:b w:val="0"/>
                <w:i w:val="0"/>
                <w:sz w:val="17"/>
              </w:rPr>
              <w:t>$310,000,000</w:t>
            </w:r>
          </w:p>
        </w:tc>
        <w:tc>
          <w:tcPr>
            <w:tcW w:type="dxa" w:w="2412"/>
          </w:tcPr>
          <w:p>
            <w:pPr>
              <w:spacing w:before="40" w:after="40"/>
            </w:pPr>
            <w:r>
              <w:rPr>
                <w:b w:val="0"/>
                <w:i w:val="0"/>
                <w:sz w:val="17"/>
              </w:rPr>
              <w:t>2,627</w:t>
            </w:r>
          </w:p>
        </w:tc>
        <w:tc>
          <w:tcPr>
            <w:tcW w:type="dxa" w:w="2412"/>
          </w:tcPr>
          <w:p>
            <w:pPr>
              <w:spacing w:before="40" w:after="40"/>
            </w:pPr>
            <w:r>
              <w:rPr>
                <w:b w:val="0"/>
                <w:i w:val="0"/>
                <w:sz w:val="17"/>
              </w:rPr>
              <w:t>$13,020,000</w:t>
            </w:r>
          </w:p>
        </w:tc>
      </w:tr>
      <w:tr>
        <w:tc>
          <w:tcPr>
            <w:tcW w:type="dxa" w:w="2412"/>
          </w:tcPr>
          <w:p>
            <w:pPr>
              <w:spacing w:before="40" w:after="40"/>
            </w:pPr>
            <w:r>
              <w:rPr>
                <w:b w:val="0"/>
                <w:i w:val="0"/>
                <w:sz w:val="17"/>
              </w:rPr>
              <w:t>Year 3</w:t>
            </w:r>
          </w:p>
        </w:tc>
        <w:tc>
          <w:tcPr>
            <w:tcW w:type="dxa" w:w="2412"/>
          </w:tcPr>
          <w:p>
            <w:pPr>
              <w:spacing w:before="40" w:after="40"/>
            </w:pPr>
            <w:r>
              <w:rPr>
                <w:b w:val="0"/>
                <w:i w:val="0"/>
                <w:sz w:val="17"/>
              </w:rPr>
              <w:t>$420,000,000</w:t>
            </w:r>
          </w:p>
        </w:tc>
        <w:tc>
          <w:tcPr>
            <w:tcW w:type="dxa" w:w="2412"/>
          </w:tcPr>
          <w:p>
            <w:pPr>
              <w:spacing w:before="40" w:after="40"/>
            </w:pPr>
            <w:r>
              <w:rPr>
                <w:b w:val="0"/>
                <w:i w:val="0"/>
                <w:sz w:val="17"/>
              </w:rPr>
              <w:t>3,559</w:t>
            </w:r>
          </w:p>
        </w:tc>
        <w:tc>
          <w:tcPr>
            <w:tcW w:type="dxa" w:w="2412"/>
          </w:tcPr>
          <w:p>
            <w:pPr>
              <w:spacing w:before="40" w:after="40"/>
            </w:pPr>
            <w:r>
              <w:rPr>
                <w:b w:val="0"/>
                <w:i w:val="0"/>
                <w:sz w:val="17"/>
              </w:rPr>
              <w:t>$17,640,000</w:t>
            </w:r>
          </w:p>
        </w:tc>
      </w:tr>
      <w:tr>
        <w:tc>
          <w:tcPr>
            <w:tcW w:type="dxa" w:w="2412"/>
          </w:tcPr>
          <w:p>
            <w:pPr>
              <w:spacing w:before="40" w:after="40"/>
            </w:pPr>
            <w:r>
              <w:rPr>
                <w:b w:val="0"/>
                <w:i w:val="0"/>
                <w:sz w:val="17"/>
              </w:rPr>
              <w:t>Year 4</w:t>
            </w:r>
          </w:p>
        </w:tc>
        <w:tc>
          <w:tcPr>
            <w:tcW w:type="dxa" w:w="2412"/>
          </w:tcPr>
          <w:p>
            <w:pPr>
              <w:spacing w:before="40" w:after="40"/>
            </w:pPr>
            <w:r>
              <w:rPr>
                <w:b w:val="0"/>
                <w:i w:val="0"/>
                <w:sz w:val="17"/>
              </w:rPr>
              <w:t>$480,000,000</w:t>
            </w:r>
          </w:p>
        </w:tc>
        <w:tc>
          <w:tcPr>
            <w:tcW w:type="dxa" w:w="2412"/>
          </w:tcPr>
          <w:p>
            <w:pPr>
              <w:spacing w:before="40" w:after="40"/>
            </w:pPr>
            <w:r>
              <w:rPr>
                <w:b w:val="0"/>
                <w:i w:val="0"/>
                <w:sz w:val="17"/>
              </w:rPr>
              <w:t>4,068</w:t>
            </w:r>
          </w:p>
        </w:tc>
        <w:tc>
          <w:tcPr>
            <w:tcW w:type="dxa" w:w="2412"/>
          </w:tcPr>
          <w:p>
            <w:pPr>
              <w:spacing w:before="40" w:after="40"/>
            </w:pPr>
            <w:r>
              <w:rPr>
                <w:b w:val="0"/>
                <w:i w:val="0"/>
                <w:sz w:val="17"/>
              </w:rPr>
              <w:t>$20,160,000</w:t>
            </w:r>
          </w:p>
        </w:tc>
      </w:tr>
      <w:tr>
        <w:tc>
          <w:tcPr>
            <w:tcW w:type="dxa" w:w="2412"/>
          </w:tcPr>
          <w:p>
            <w:pPr>
              <w:spacing w:before="40" w:after="40"/>
            </w:pPr>
            <w:r>
              <w:rPr>
                <w:b w:val="0"/>
                <w:i w:val="0"/>
                <w:sz w:val="17"/>
              </w:rPr>
              <w:t>Year 5</w:t>
            </w:r>
          </w:p>
        </w:tc>
        <w:tc>
          <w:tcPr>
            <w:tcW w:type="dxa" w:w="2412"/>
          </w:tcPr>
          <w:p>
            <w:pPr>
              <w:spacing w:before="40" w:after="40"/>
            </w:pPr>
            <w:r>
              <w:rPr>
                <w:b w:val="0"/>
                <w:i w:val="0"/>
                <w:sz w:val="17"/>
              </w:rPr>
              <w:t>$480,000,000</w:t>
            </w:r>
          </w:p>
        </w:tc>
        <w:tc>
          <w:tcPr>
            <w:tcW w:type="dxa" w:w="2412"/>
          </w:tcPr>
          <w:p>
            <w:pPr>
              <w:spacing w:before="40" w:after="40"/>
            </w:pPr>
            <w:r>
              <w:rPr>
                <w:b w:val="0"/>
                <w:i w:val="0"/>
                <w:sz w:val="17"/>
              </w:rPr>
              <w:t>4,068</w:t>
            </w:r>
          </w:p>
        </w:tc>
        <w:tc>
          <w:tcPr>
            <w:tcW w:type="dxa" w:w="2412"/>
          </w:tcPr>
          <w:p>
            <w:pPr>
              <w:spacing w:before="40" w:after="40"/>
            </w:pPr>
            <w:r>
              <w:rPr>
                <w:b w:val="0"/>
                <w:i w:val="0"/>
                <w:sz w:val="17"/>
              </w:rPr>
              <w:t>$20,160,000</w:t>
            </w:r>
          </w:p>
        </w:tc>
      </w:tr>
      <w:tr>
        <w:tc>
          <w:tcPr>
            <w:tcW w:type="dxa" w:w="2412"/>
          </w:tcPr>
          <w:p>
            <w:pPr>
              <w:spacing w:before="40" w:after="40"/>
            </w:pPr>
            <w:r>
              <w:rPr>
                <w:b/>
                <w:i w:val="0"/>
                <w:sz w:val="17"/>
              </w:rPr>
              <w:t>Five-year total</w:t>
            </w:r>
          </w:p>
        </w:tc>
        <w:tc>
          <w:tcPr>
            <w:tcW w:type="dxa" w:w="2412"/>
          </w:tcPr>
          <w:p>
            <w:pPr>
              <w:spacing w:before="40" w:after="40"/>
            </w:pPr>
            <w:r>
              <w:rPr>
                <w:b/>
                <w:i w:val="0"/>
                <w:sz w:val="17"/>
              </w:rPr>
              <w:t>$1,875,000,000</w:t>
            </w:r>
          </w:p>
        </w:tc>
        <w:tc>
          <w:tcPr>
            <w:tcW w:type="dxa" w:w="2412"/>
          </w:tcPr>
          <w:p>
            <w:pPr>
              <w:spacing w:before="40" w:after="40"/>
            </w:pPr>
            <w:r>
              <w:rPr>
                <w:b/>
                <w:i w:val="0"/>
                <w:sz w:val="17"/>
              </w:rPr>
              <w:t>15,890</w:t>
            </w:r>
          </w:p>
        </w:tc>
        <w:tc>
          <w:tcPr>
            <w:tcW w:type="dxa" w:w="2412"/>
          </w:tcPr>
          <w:p>
            <w:pPr>
              <w:spacing w:before="40" w:after="40"/>
            </w:pPr>
            <w:r>
              <w:rPr>
                <w:b/>
                <w:i w:val="0"/>
                <w:sz w:val="17"/>
              </w:rPr>
              <w:t>$78,750,000</w:t>
            </w:r>
          </w:p>
        </w:tc>
      </w:tr>
    </w:tbl>
    <w:p/>
    <w:p>
      <w:pPr>
        <w:spacing w:after="120"/>
      </w:pPr>
      <w:r>
        <w:rPr>
          <w:b w:val="0"/>
          <w:i w:val="0"/>
          <w:sz w:val="20"/>
        </w:rPr>
        <w:t>Year 1 is a partial year: launch is 06 March 2028, giving roughly ten selling months and 1,568 policies. The curve reflects the shape the carrier has observed on prior annuity launches — a slow first two quarters while producers are appointed and trained, then acceleration as the product enters standing recommendation sets.</w:t>
      </w:r>
    </w:p>
    <w:p>
      <w:pPr>
        <w:spacing w:before="280" w:after="80"/>
      </w:pPr>
      <w:r>
        <w:rPr>
          <w:b/>
          <w:i w:val="0"/>
          <w:color w:val="14352A"/>
          <w:sz w:val="28"/>
        </w:rPr>
        <w:t>9. Capital &amp; Return Against Hurdle</w:t>
      </w:r>
    </w:p>
    <w:p>
      <w:pPr>
        <w:spacing w:after="120"/>
      </w:pPr>
      <w:r>
        <w:rPr>
          <w:b w:val="0"/>
          <w:i w:val="0"/>
          <w:sz w:val="20"/>
        </w:rPr>
        <w:t>New business consumes capital before it produces earnings. Strain is modelled at 4.2% of premium, requiring $7,770,000 in Year 1 and $78,750,000 across five years of sales.</w:t>
      </w:r>
    </w:p>
    <w:p>
      <w:pPr>
        <w:spacing w:after="120"/>
      </w:pPr>
      <w:r>
        <w:rPr>
          <w:b w:val="0"/>
          <w:i w:val="0"/>
          <w:sz w:val="20"/>
        </w:rPr>
        <w:t>Product IRR</w:t>
      </w:r>
    </w:p>
    <w:p>
      <w:pPr>
        <w:spacing w:after="120"/>
      </w:pPr>
      <w:r>
        <w:rPr>
          <w:b w:val="0"/>
          <w:i w:val="0"/>
          <w:sz w:val="20"/>
        </w:rPr>
        <w:t>13.4%</w:t>
      </w:r>
    </w:p>
    <w:p>
      <w:pPr>
        <w:spacing w:after="120"/>
      </w:pPr>
      <w:r>
        <w:rPr>
          <w:b w:val="0"/>
          <w:i w:val="0"/>
          <w:sz w:val="20"/>
        </w:rPr>
        <w:t>Hurdle rate</w:t>
      </w:r>
    </w:p>
    <w:p>
      <w:pPr>
        <w:spacing w:after="120"/>
      </w:pPr>
      <w:r>
        <w:rPr>
          <w:b w:val="0"/>
          <w:i w:val="0"/>
          <w:sz w:val="20"/>
        </w:rPr>
        <w:t>11.0%</w:t>
      </w:r>
    </w:p>
    <w:p>
      <w:pPr>
        <w:spacing w:after="120"/>
      </w:pPr>
      <w:r>
        <w:rPr>
          <w:b w:val="0"/>
          <w:i w:val="0"/>
          <w:sz w:val="20"/>
        </w:rPr>
        <w:t>Margin</w:t>
      </w:r>
    </w:p>
    <w:p>
      <w:pPr>
        <w:spacing w:after="120"/>
      </w:pPr>
      <w:r>
        <w:rPr>
          <w:b w:val="0"/>
          <w:i w:val="0"/>
          <w:sz w:val="20"/>
        </w:rPr>
        <w:t>+240 bps</w:t>
      </w:r>
    </w:p>
    <w:p>
      <w:pPr>
        <w:spacing w:after="120"/>
      </w:pPr>
      <w:r>
        <w:rPr>
          <w:b w:val="0"/>
          <w:i w:val="0"/>
          <w:sz w:val="20"/>
        </w:rPr>
        <w:t>As first tabled</w:t>
      </w:r>
    </w:p>
    <w:p>
      <w:pPr>
        <w:spacing w:after="120"/>
      </w:pPr>
      <w:r>
        <w:rPr>
          <w:b w:val="0"/>
          <w:i w:val="0"/>
          <w:sz w:val="20"/>
        </w:rPr>
        <w:t>14.6%</w:t>
      </w:r>
    </w:p>
    <w:p>
      <w:pPr>
        <w:spacing w:after="120"/>
      </w:pPr>
      <w:r>
        <w:rPr>
          <w:b w:val="0"/>
          <w:i w:val="0"/>
          <w:sz w:val="20"/>
        </w:rPr>
        <w:t>The margin over hurdle is 240 basis points. On a product whose economics are driven by an option budget that moves with markets and by a rider cohort whose behaviour is modelled rather than observed, that is a real but modest margin, and the Board should weigh it as such. The sensitivities at §11 are the more informative view.</w:t>
      </w:r>
    </w:p>
    <w:p>
      <w:pPr>
        <w:spacing w:before="280" w:after="80"/>
      </w:pPr>
      <w:r>
        <w:rPr>
          <w:b/>
          <w:i w:val="0"/>
          <w:color w:val="14352A"/>
          <w:sz w:val="28"/>
        </w:rPr>
        <w:t>10. Development Cost &amp; the Stage 2 Ask</w:t>
      </w:r>
    </w:p>
    <w:p>
      <w:pPr>
        <w:spacing w:after="120"/>
      </w:pPr>
      <w:r>
        <w:rPr>
          <w:b w:val="0"/>
          <w:i w:val="0"/>
          <w:sz w:val="20"/>
        </w:rPr>
        <w:t>Total authorised program cost is $27,904,000 — a base of $25,600,000 plus a 9.0% gate contingency reserve of $2,304,000 held by the Board. Under the funding model, the Board is not being asked to commit that amount today.</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Released at</w:t>
            </w:r>
          </w:p>
        </w:tc>
        <w:tc>
          <w:tcPr>
            <w:tcW w:type="dxa" w:w="2412"/>
            <w:shd w:val="clear" w:fill="14352A"/>
          </w:tcPr>
          <w:p>
            <w:pPr>
              <w:spacing w:before="40" w:after="40"/>
            </w:pPr>
            <w:r>
              <w:rPr>
                <w:b/>
                <w:i w:val="0"/>
                <w:color w:val="FFFFFF"/>
                <w:sz w:val="17"/>
              </w:rPr>
              <w:t>Stage</w:t>
            </w:r>
          </w:p>
        </w:tc>
        <w:tc>
          <w:tcPr>
            <w:tcW w:type="dxa" w:w="2412"/>
            <w:shd w:val="clear" w:fill="14352A"/>
          </w:tcPr>
          <w:p>
            <w:pPr>
              <w:spacing w:before="40" w:after="40"/>
            </w:pPr>
            <w:r>
              <w:rPr>
                <w:b/>
                <w:i w:val="0"/>
                <w:color w:val="FFFFFF"/>
                <w:sz w:val="17"/>
              </w:rPr>
              <w:t>Amount</w:t>
            </w:r>
          </w:p>
        </w:tc>
        <w:tc>
          <w:tcPr>
            <w:tcW w:type="dxa" w:w="2412"/>
            <w:shd w:val="clear" w:fill="14352A"/>
          </w:tcPr>
          <w:p>
            <w:pPr>
              <w:spacing w:before="40" w:after="40"/>
            </w:pPr>
            <w:r>
              <w:rPr>
                <w:b/>
                <w:i w:val="0"/>
                <w:color w:val="FFFFFF"/>
                <w:sz w:val="17"/>
              </w:rPr>
              <w:t>Status at this gate</w:t>
            </w:r>
          </w:p>
        </w:tc>
      </w:tr>
      <w:tr>
        <w:tc>
          <w:tcPr>
            <w:tcW w:type="dxa" w:w="2412"/>
          </w:tcPr>
          <w:p>
            <w:pPr>
              <w:spacing w:before="40" w:after="40"/>
            </w:pPr>
            <w:r>
              <w:rPr>
                <w:b w:val="0"/>
                <w:i w:val="0"/>
                <w:sz w:val="17"/>
              </w:rPr>
              <w:t>Gate 0</w:t>
            </w:r>
          </w:p>
        </w:tc>
        <w:tc>
          <w:tcPr>
            <w:tcW w:type="dxa" w:w="2412"/>
          </w:tcPr>
          <w:p>
            <w:pPr>
              <w:spacing w:before="40" w:after="40"/>
            </w:pPr>
            <w:r>
              <w:rPr>
                <w:b w:val="0"/>
                <w:i w:val="0"/>
                <w:sz w:val="17"/>
              </w:rPr>
              <w:t>Stage 1 — Business Case</w:t>
            </w:r>
          </w:p>
        </w:tc>
        <w:tc>
          <w:tcPr>
            <w:tcW w:type="dxa" w:w="2412"/>
          </w:tcPr>
          <w:p>
            <w:pPr>
              <w:spacing w:before="40" w:after="40"/>
            </w:pPr>
            <w:r>
              <w:rPr>
                <w:b w:val="0"/>
                <w:i w:val="0"/>
                <w:sz w:val="17"/>
              </w:rPr>
              <w:t>$2,180,000</w:t>
            </w:r>
          </w:p>
        </w:tc>
        <w:tc>
          <w:tcPr>
            <w:tcW w:type="dxa" w:w="2412"/>
          </w:tcPr>
          <w:p>
            <w:pPr>
              <w:spacing w:before="40" w:after="40"/>
            </w:pPr>
            <w:r>
              <w:rPr>
                <w:b w:val="0"/>
                <w:i w:val="0"/>
                <w:sz w:val="17"/>
              </w:rPr>
              <w:t>Spent; closed at $2,412,000</w:t>
            </w:r>
          </w:p>
        </w:tc>
      </w:tr>
      <w:tr>
        <w:tc>
          <w:tcPr>
            <w:tcW w:type="dxa" w:w="2412"/>
          </w:tcPr>
          <w:p>
            <w:pPr>
              <w:spacing w:before="40" w:after="40"/>
            </w:pPr>
            <w:r>
              <w:rPr>
                <w:b/>
                <w:i w:val="0"/>
                <w:sz w:val="17"/>
              </w:rPr>
              <w:t>Gate 1 — this decision</w:t>
            </w:r>
          </w:p>
        </w:tc>
        <w:tc>
          <w:tcPr>
            <w:tcW w:type="dxa" w:w="2412"/>
          </w:tcPr>
          <w:p>
            <w:pPr>
              <w:spacing w:before="40" w:after="40"/>
            </w:pPr>
            <w:r>
              <w:rPr>
                <w:b/>
                <w:i w:val="0"/>
                <w:sz w:val="17"/>
              </w:rPr>
              <w:t>Stage 2 — Development</w:t>
            </w:r>
          </w:p>
        </w:tc>
        <w:tc>
          <w:tcPr>
            <w:tcW w:type="dxa" w:w="2412"/>
          </w:tcPr>
          <w:p>
            <w:pPr>
              <w:spacing w:before="40" w:after="40"/>
            </w:pPr>
            <w:r>
              <w:rPr>
                <w:b/>
                <w:i w:val="0"/>
                <w:sz w:val="17"/>
              </w:rPr>
              <w:t>$11,640,000</w:t>
            </w:r>
          </w:p>
        </w:tc>
        <w:tc>
          <w:tcPr>
            <w:tcW w:type="dxa" w:w="2412"/>
          </w:tcPr>
          <w:p>
            <w:pPr>
              <w:spacing w:before="40" w:after="40"/>
            </w:pPr>
            <w:r>
              <w:rPr>
                <w:b/>
                <w:i w:val="0"/>
                <w:sz w:val="17"/>
              </w:rPr>
              <w:t>Requested</w:t>
            </w:r>
          </w:p>
        </w:tc>
      </w:tr>
      <w:tr>
        <w:tc>
          <w:tcPr>
            <w:tcW w:type="dxa" w:w="2412"/>
          </w:tcPr>
          <w:p>
            <w:pPr>
              <w:spacing w:before="40" w:after="40"/>
            </w:pPr>
            <w:r>
              <w:rPr>
                <w:b w:val="0"/>
                <w:i w:val="0"/>
                <w:sz w:val="17"/>
              </w:rPr>
              <w:t>Gate 2</w:t>
            </w:r>
          </w:p>
        </w:tc>
        <w:tc>
          <w:tcPr>
            <w:tcW w:type="dxa" w:w="2412"/>
          </w:tcPr>
          <w:p>
            <w:pPr>
              <w:spacing w:before="40" w:after="40"/>
            </w:pPr>
            <w:r>
              <w:rPr>
                <w:b w:val="0"/>
                <w:i w:val="0"/>
                <w:sz w:val="17"/>
              </w:rPr>
              <w:t>Stage 3 — Testing &amp; Validation</w:t>
            </w:r>
          </w:p>
        </w:tc>
        <w:tc>
          <w:tcPr>
            <w:tcW w:type="dxa" w:w="2412"/>
          </w:tcPr>
          <w:p>
            <w:pPr>
              <w:spacing w:before="40" w:after="40"/>
            </w:pPr>
            <w:r>
              <w:rPr>
                <w:b w:val="0"/>
                <w:i w:val="0"/>
                <w:sz w:val="17"/>
              </w:rPr>
              <w:t>$7,450,000</w:t>
            </w:r>
          </w:p>
        </w:tc>
        <w:tc>
          <w:tcPr>
            <w:tcW w:type="dxa" w:w="2412"/>
          </w:tcPr>
          <w:p>
            <w:pPr>
              <w:spacing w:before="40" w:after="40"/>
            </w:pPr>
            <w:r>
              <w:rPr>
                <w:b w:val="0"/>
                <w:i w:val="0"/>
                <w:sz w:val="17"/>
              </w:rPr>
              <w:t>Not requested</w:t>
            </w:r>
          </w:p>
        </w:tc>
      </w:tr>
      <w:tr>
        <w:tc>
          <w:tcPr>
            <w:tcW w:type="dxa" w:w="2412"/>
          </w:tcPr>
          <w:p>
            <w:pPr>
              <w:spacing w:before="40" w:after="40"/>
            </w:pPr>
            <w:r>
              <w:rPr>
                <w:b w:val="0"/>
                <w:i w:val="0"/>
                <w:sz w:val="17"/>
              </w:rPr>
              <w:t>Gate 3</w:t>
            </w:r>
          </w:p>
        </w:tc>
        <w:tc>
          <w:tcPr>
            <w:tcW w:type="dxa" w:w="2412"/>
          </w:tcPr>
          <w:p>
            <w:pPr>
              <w:spacing w:before="40" w:after="40"/>
            </w:pPr>
            <w:r>
              <w:rPr>
                <w:b w:val="0"/>
                <w:i w:val="0"/>
                <w:sz w:val="17"/>
              </w:rPr>
              <w:t>Stage 4 — Launch Readiness</w:t>
            </w:r>
          </w:p>
        </w:tc>
        <w:tc>
          <w:tcPr>
            <w:tcW w:type="dxa" w:w="2412"/>
          </w:tcPr>
          <w:p>
            <w:pPr>
              <w:spacing w:before="40" w:after="40"/>
            </w:pPr>
            <w:r>
              <w:rPr>
                <w:b w:val="0"/>
                <w:i w:val="0"/>
                <w:sz w:val="17"/>
              </w:rPr>
              <w:t>$4,330,000</w:t>
            </w:r>
          </w:p>
        </w:tc>
        <w:tc>
          <w:tcPr>
            <w:tcW w:type="dxa" w:w="2412"/>
          </w:tcPr>
          <w:p>
            <w:pPr>
              <w:spacing w:before="40" w:after="40"/>
            </w:pPr>
            <w:r>
              <w:rPr>
                <w:b w:val="0"/>
                <w:i w:val="0"/>
                <w:sz w:val="17"/>
              </w:rPr>
              <w:t>Not requested</w:t>
            </w:r>
          </w:p>
        </w:tc>
      </w:tr>
    </w:tbl>
    <w:p/>
    <w:p>
      <w:pPr>
        <w:spacing w:after="120"/>
      </w:pPr>
      <w:r>
        <w:rPr>
          <w:b w:val="0"/>
          <w:i w:val="0"/>
          <w:sz w:val="20"/>
        </w:rPr>
        <w:t>Stage 1 closed $232,000 over its tranche. The overrun is the cost of the recycle loop and was met by an authorised contingency draw rather than absorbed into this request — folding it into the Stage 2 ask would have concealed the cost of the recycle inside development spend.</w:t>
      </w:r>
    </w:p>
    <w:p>
      <w:pPr>
        <w:spacing w:before="280" w:after="80"/>
      </w:pPr>
      <w:r>
        <w:rPr>
          <w:b/>
          <w:i w:val="0"/>
          <w:color w:val="14352A"/>
          <w:sz w:val="28"/>
        </w:rPr>
        <w:t>11. Sensitivities &amp; the Downside Case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Scenario</w:t>
            </w:r>
          </w:p>
        </w:tc>
        <w:tc>
          <w:tcPr>
            <w:tcW w:type="dxa" w:w="2412"/>
            <w:shd w:val="clear" w:fill="14352A"/>
          </w:tcPr>
          <w:p>
            <w:pPr>
              <w:spacing w:before="40" w:after="40"/>
            </w:pPr>
            <w:r>
              <w:rPr>
                <w:b/>
                <w:i w:val="0"/>
                <w:color w:val="FFFFFF"/>
                <w:sz w:val="17"/>
              </w:rPr>
              <w:t>Effect</w:t>
            </w:r>
          </w:p>
        </w:tc>
        <w:tc>
          <w:tcPr>
            <w:tcW w:type="dxa" w:w="2412"/>
            <w:shd w:val="clear" w:fill="14352A"/>
          </w:tcPr>
          <w:p>
            <w:pPr>
              <w:spacing w:before="40" w:after="40"/>
            </w:pPr>
            <w:r>
              <w:rPr>
                <w:b/>
                <w:i w:val="0"/>
                <w:color w:val="FFFFFF"/>
                <w:sz w:val="17"/>
              </w:rPr>
              <w:t>IRR</w:t>
            </w:r>
          </w:p>
        </w:tc>
        <w:tc>
          <w:tcPr>
            <w:tcW w:type="dxa" w:w="2412"/>
            <w:shd w:val="clear" w:fill="14352A"/>
          </w:tcPr>
          <w:p>
            <w:pPr>
              <w:spacing w:before="40" w:after="40"/>
            </w:pPr>
            <w:r>
              <w:rPr>
                <w:b/>
                <w:i w:val="0"/>
                <w:color w:val="FFFFFF"/>
                <w:sz w:val="17"/>
              </w:rPr>
              <w:t>Against hurdle</w:t>
            </w:r>
          </w:p>
        </w:tc>
      </w:tr>
      <w:tr>
        <w:tc>
          <w:tcPr>
            <w:tcW w:type="dxa" w:w="2412"/>
          </w:tcPr>
          <w:p>
            <w:pPr>
              <w:spacing w:before="40" w:after="40"/>
            </w:pPr>
            <w:r>
              <w:rPr>
                <w:b/>
                <w:i w:val="0"/>
                <w:sz w:val="17"/>
              </w:rPr>
              <w:t>Plan</w:t>
            </w:r>
          </w:p>
        </w:tc>
        <w:tc>
          <w:tcPr>
            <w:tcW w:type="dxa" w:w="2412"/>
          </w:tcPr>
          <w:p>
            <w:pPr>
              <w:spacing w:before="40" w:after="40"/>
            </w:pPr>
            <w:r>
              <w:rPr>
                <w:b w:val="0"/>
                <w:i w:val="0"/>
                <w:sz w:val="17"/>
              </w:rPr>
              <w:t>As presented</w:t>
            </w:r>
          </w:p>
        </w:tc>
        <w:tc>
          <w:tcPr>
            <w:tcW w:type="dxa" w:w="2412"/>
          </w:tcPr>
          <w:p>
            <w:pPr>
              <w:spacing w:before="40" w:after="40"/>
            </w:pPr>
            <w:r>
              <w:rPr>
                <w:b/>
                <w:i w:val="0"/>
                <w:sz w:val="17"/>
              </w:rPr>
              <w:t>13.4%</w:t>
            </w:r>
          </w:p>
        </w:tc>
        <w:tc>
          <w:tcPr>
            <w:tcW w:type="dxa" w:w="2412"/>
          </w:tcPr>
          <w:p>
            <w:pPr>
              <w:spacing w:before="40" w:after="40"/>
            </w:pPr>
            <w:r>
              <w:rPr>
                <w:b w:val="0"/>
                <w:i w:val="0"/>
                <w:sz w:val="17"/>
              </w:rPr>
              <w:t>Clears by 240 bps</w:t>
            </w:r>
          </w:p>
        </w:tc>
      </w:tr>
      <w:tr>
        <w:tc>
          <w:tcPr>
            <w:tcW w:type="dxa" w:w="2412"/>
          </w:tcPr>
          <w:p>
            <w:pPr>
              <w:spacing w:before="40" w:after="40"/>
            </w:pPr>
            <w:r>
              <w:rPr>
                <w:b/>
                <w:i w:val="0"/>
                <w:sz w:val="17"/>
              </w:rPr>
              <w:t>Volumes 30% below plan</w:t>
            </w:r>
          </w:p>
        </w:tc>
        <w:tc>
          <w:tcPr>
            <w:tcW w:type="dxa" w:w="2412"/>
          </w:tcPr>
          <w:p>
            <w:pPr>
              <w:spacing w:before="40" w:after="40"/>
            </w:pPr>
            <w:r>
              <w:rPr>
                <w:b w:val="0"/>
                <w:i w:val="0"/>
                <w:sz w:val="17"/>
              </w:rPr>
              <w:t>Fixed development cost spread over less premium; slower scale in servicing</w:t>
            </w:r>
          </w:p>
        </w:tc>
        <w:tc>
          <w:tcPr>
            <w:tcW w:type="dxa" w:w="2412"/>
          </w:tcPr>
          <w:p>
            <w:pPr>
              <w:spacing w:before="40" w:after="40"/>
            </w:pPr>
            <w:r>
              <w:rPr>
                <w:b/>
                <w:i w:val="0"/>
                <w:sz w:val="17"/>
              </w:rPr>
              <w:t>10.1%</w:t>
            </w:r>
          </w:p>
        </w:tc>
        <w:tc>
          <w:tcPr>
            <w:tcW w:type="dxa" w:w="2412"/>
          </w:tcPr>
          <w:p>
            <w:pPr>
              <w:spacing w:before="40" w:after="40"/>
            </w:pPr>
            <w:r>
              <w:rPr>
                <w:b/>
                <w:i w:val="0"/>
                <w:sz w:val="17"/>
              </w:rPr>
              <w:t>Fails by 90 bps</w:t>
            </w:r>
          </w:p>
        </w:tc>
      </w:tr>
      <w:tr>
        <w:tc>
          <w:tcPr>
            <w:tcW w:type="dxa" w:w="2412"/>
          </w:tcPr>
          <w:p>
            <w:pPr>
              <w:spacing w:before="40" w:after="40"/>
            </w:pPr>
            <w:r>
              <w:rPr>
                <w:b w:val="0"/>
                <w:i w:val="0"/>
                <w:sz w:val="17"/>
              </w:rPr>
              <w:t>Cap falls to the 8.5% floor</w:t>
            </w:r>
          </w:p>
        </w:tc>
        <w:tc>
          <w:tcPr>
            <w:tcW w:type="dxa" w:w="2412"/>
          </w:tcPr>
          <w:p>
            <w:pPr>
              <w:spacing w:before="40" w:after="40"/>
            </w:pPr>
            <w:r>
              <w:rPr>
                <w:b w:val="0"/>
                <w:i w:val="0"/>
                <w:sz w:val="17"/>
              </w:rPr>
              <w:t>Competitive position moves from above median to below; volume risk rather than margin risk</w:t>
            </w:r>
          </w:p>
        </w:tc>
        <w:tc>
          <w:tcPr>
            <w:tcW w:type="dxa" w:w="2412"/>
          </w:tcPr>
          <w:p>
            <w:pPr>
              <w:spacing w:before="40" w:after="40"/>
            </w:pPr>
            <w:r>
              <w:rPr>
                <w:b w:val="0"/>
                <w:i w:val="0"/>
                <w:sz w:val="17"/>
              </w:rPr>
              <w:t>Modelled through the volume sensitivity above</w:t>
            </w:r>
          </w:p>
        </w:tc>
        <w:tc>
          <w:tcPr>
            <w:tcW w:type="dxa" w:w="2412"/>
          </w:tcPr>
          <w:p>
            <w:pPr>
              <w:spacing w:before="40" w:after="40"/>
            </w:pPr>
            <w:r>
              <w:rPr>
                <w:b w:val="0"/>
                <w:i w:val="0"/>
                <w:sz w:val="17"/>
              </w:rPr>
              <w:t>—</w:t>
            </w:r>
          </w:p>
        </w:tc>
      </w:tr>
      <w:tr>
        <w:tc>
          <w:tcPr>
            <w:tcW w:type="dxa" w:w="2412"/>
          </w:tcPr>
          <w:p>
            <w:pPr>
              <w:spacing w:before="40" w:after="40"/>
            </w:pPr>
            <w:r>
              <w:rPr>
                <w:b w:val="0"/>
                <w:i w:val="0"/>
                <w:sz w:val="17"/>
              </w:rPr>
              <w:t>Rider election materially above 62.0%</w:t>
            </w:r>
          </w:p>
        </w:tc>
        <w:tc>
          <w:tcPr>
            <w:tcW w:type="dxa" w:w="2412"/>
          </w:tcPr>
          <w:p>
            <w:pPr>
              <w:spacing w:before="40" w:after="40"/>
            </w:pPr>
            <w:r>
              <w:rPr>
                <w:b w:val="0"/>
                <w:i w:val="0"/>
                <w:sz w:val="17"/>
              </w:rPr>
              <w:t>More fee income, more guarantee exposure and more hedging cost</w:t>
            </w:r>
          </w:p>
        </w:tc>
        <w:tc>
          <w:tcPr>
            <w:tcW w:type="dxa" w:w="2412"/>
          </w:tcPr>
          <w:p>
            <w:pPr>
              <w:spacing w:before="40" w:after="40"/>
            </w:pPr>
            <w:r>
              <w:rPr>
                <w:b w:val="0"/>
                <w:i w:val="0"/>
                <w:sz w:val="17"/>
              </w:rPr>
              <w:t>Broadly neutral to modestly positive</w:t>
            </w:r>
          </w:p>
        </w:tc>
        <w:tc>
          <w:tcPr>
            <w:tcW w:type="dxa" w:w="2412"/>
          </w:tcPr>
          <w:p>
            <w:pPr>
              <w:spacing w:before="40" w:after="40"/>
            </w:pPr>
            <w:r>
              <w:rPr>
                <w:b w:val="0"/>
                <w:i w:val="0"/>
                <w:sz w:val="17"/>
              </w:rPr>
              <w:t>—</w:t>
            </w:r>
          </w:p>
        </w:tc>
      </w:tr>
    </w:tbl>
    <w:p/>
    <w:tbl>
      <w:tblPr>
        <w:tblStyle w:val="TableGrid"/>
        <w:tblW w:type="auto" w:w="0"/>
        <w:tblLook w:firstColumn="1" w:firstRow="1" w:lastColumn="0" w:lastRow="0" w:noHBand="0" w:noVBand="1" w:val="04A0"/>
      </w:tblPr>
      <w:tblGrid>
        <w:gridCol w:w="9648"/>
      </w:tblGrid>
      <w:tr>
        <w:tc>
          <w:tcPr>
            <w:tcW w:type="dxa" w:w="9648"/>
            <w:shd w:val="clear" w:fill="FBEAE8"/>
          </w:tcPr>
          <w:p>
            <w:pPr>
              <w:spacing w:after="120"/>
            </w:pPr>
            <w:r>
              <w:rPr>
                <w:b/>
                <w:i w:val="0"/>
                <w:sz w:val="20"/>
              </w:rPr>
              <w:t>The downside case does not clear the hurdle.</w:t>
            </w:r>
            <w:r>
              <w:rPr>
                <w:b w:val="0"/>
                <w:i w:val="0"/>
                <w:sz w:val="20"/>
              </w:rPr>
              <w:t xml:space="preserve"> At 30% below plan the product returns 10.1% against 11.0%. Given that $17,000,000 of Year 1 premium is not covered by written commitment, this is the scenario the Board should treat as live rather than remote. It is presented here as the reason a volume condition is warranted, not as an argument that the case is unsound. </w:t>
            </w:r>
          </w:p>
        </w:tc>
      </w:tr>
    </w:tbl>
    <w:p/>
    <w:p>
      <w:pPr>
        <w:spacing w:before="360"/>
      </w:pPr>
      <w:r>
        <w:rPr>
          <w:b/>
          <w:i w:val="0"/>
          <w:color w:val="1E5945"/>
          <w:sz w:val="22"/>
        </w:rPr>
        <w:t>Part IV — Delivery, Regulation &amp; Risk</w:t>
      </w:r>
    </w:p>
    <w:p>
      <w:pPr>
        <w:spacing w:before="280" w:after="80"/>
      </w:pPr>
      <w:r>
        <w:rPr>
          <w:b/>
          <w:i w:val="0"/>
          <w:color w:val="14352A"/>
          <w:sz w:val="28"/>
        </w:rPr>
        <w:t>12. Stage 2 Scope &amp; Approach</w:t>
      </w:r>
    </w:p>
    <w:p>
      <w:pPr>
        <w:spacing w:after="120"/>
      </w:pPr>
      <w:r>
        <w:rPr>
          <w:b w:val="0"/>
          <w:i w:val="0"/>
          <w:sz w:val="20"/>
        </w:rPr>
        <w:t>Stage 2 runs 15 Jun 2026 to 26 Mar 2027 and delivers a product that is built, priced and fit to file. Its scope is bounded by what Gate 2 must be able to certify.</w:t>
      </w:r>
    </w:p>
    <w:p>
      <w:pPr>
        <w:pStyle w:val="ListBullet"/>
        <w:spacing w:after="60"/>
      </w:pPr>
      <w:r>
        <w:rPr>
          <w:b/>
          <w:i w:val="0"/>
          <w:sz w:val="20"/>
        </w:rPr>
        <w:t>Product design and contract forms</w:t>
      </w:r>
      <w:r>
        <w:rPr>
          <w:b w:val="0"/>
          <w:i w:val="0"/>
          <w:sz w:val="20"/>
        </w:rPr>
        <w:t xml:space="preserve"> — base contract and GLWB rider drafted, reviewed by outside counsel, ready for submission.</w:t>
      </w:r>
    </w:p>
    <w:p>
      <w:pPr>
        <w:pStyle w:val="ListBullet"/>
        <w:spacing w:after="60"/>
      </w:pPr>
      <w:r>
        <w:rPr>
          <w:b/>
          <w:i w:val="0"/>
          <w:sz w:val="20"/>
        </w:rPr>
        <w:t>Pricing</w:t>
      </w:r>
      <w:r>
        <w:rPr>
          <w:b w:val="0"/>
          <w:i w:val="0"/>
          <w:sz w:val="20"/>
        </w:rPr>
        <w:t xml:space="preserve"> — final pricing basis, assumption documentation, and the independent external review the Board is likely to require.</w:t>
      </w:r>
    </w:p>
    <w:p>
      <w:pPr>
        <w:pStyle w:val="ListBullet"/>
        <w:spacing w:after="60"/>
      </w:pPr>
      <w:r>
        <w:rPr>
          <w:b/>
          <w:i w:val="0"/>
          <w:sz w:val="20"/>
        </w:rPr>
        <w:t>Platform</w:t>
      </w:r>
      <w:r>
        <w:rPr>
          <w:b w:val="0"/>
          <w:i w:val="0"/>
          <w:sz w:val="20"/>
        </w:rPr>
        <w:t xml:space="preserve"> — configuration of the existing annuity administration platform (</w:t>
      </w:r>
      <w:r>
        <w:rPr>
          <w:b/>
          <w:i w:val="0"/>
          <w:sz w:val="20"/>
        </w:rPr>
        <w:t>A-04</w:t>
      </w:r>
      <w:r>
        <w:rPr>
          <w:b w:val="0"/>
          <w:i w:val="0"/>
          <w:sz w:val="20"/>
        </w:rPr>
        <w:t xml:space="preserve">, </w:t>
      </w:r>
      <w:r>
        <w:rPr>
          <w:b/>
          <w:i w:val="0"/>
          <w:sz w:val="20"/>
        </w:rPr>
        <w:t>D-07</w:t>
      </w:r>
      <w:r>
        <w:rPr>
          <w:b w:val="0"/>
          <w:i w:val="0"/>
          <w:sz w:val="20"/>
        </w:rPr>
        <w:t>). No new product-line system.</w:t>
      </w:r>
    </w:p>
    <w:p>
      <w:pPr>
        <w:pStyle w:val="ListBullet"/>
        <w:spacing w:after="60"/>
      </w:pPr>
      <w:r>
        <w:rPr>
          <w:b/>
          <w:i w:val="0"/>
          <w:sz w:val="20"/>
        </w:rPr>
        <w:t>Illustration and quoting</w:t>
      </w:r>
      <w:r>
        <w:rPr>
          <w:b w:val="0"/>
          <w:i w:val="0"/>
          <w:sz w:val="20"/>
        </w:rPr>
        <w:t xml:space="preserve"> — configuration of the incumbent engine for the three launch strategies (</w:t>
      </w:r>
      <w:r>
        <w:rPr>
          <w:b/>
          <w:i w:val="0"/>
          <w:sz w:val="20"/>
        </w:rPr>
        <w:t>D-04</w:t>
      </w:r>
      <w:r>
        <w:rPr>
          <w:b w:val="0"/>
          <w:i w:val="0"/>
          <w:sz w:val="20"/>
        </w:rPr>
        <w:t>).</w:t>
      </w:r>
    </w:p>
    <w:p>
      <w:pPr>
        <w:pStyle w:val="ListBullet"/>
        <w:spacing w:after="60"/>
      </w:pPr>
      <w:r>
        <w:rPr>
          <w:b/>
          <w:i w:val="0"/>
          <w:sz w:val="20"/>
        </w:rPr>
        <w:t>Hedging</w:t>
      </w:r>
      <w:r>
        <w:rPr>
          <w:b w:val="0"/>
          <w:i w:val="0"/>
          <w:sz w:val="20"/>
        </w:rPr>
        <w:t xml:space="preserve"> — target operating model, ISDA and counterparty onboarding begun (</w:t>
      </w:r>
      <w:r>
        <w:rPr>
          <w:b/>
          <w:i w:val="0"/>
          <w:sz w:val="20"/>
        </w:rPr>
        <w:t>DEP-06</w:t>
      </w:r>
      <w:r>
        <w:rPr>
          <w:b w:val="0"/>
          <w:i w:val="0"/>
          <w:sz w:val="20"/>
        </w:rPr>
        <w:t>).</w:t>
      </w:r>
    </w:p>
    <w:p>
      <w:pPr>
        <w:pStyle w:val="ListBullet"/>
        <w:spacing w:after="60"/>
      </w:pPr>
      <w:r>
        <w:rPr>
          <w:b/>
          <w:i w:val="0"/>
          <w:sz w:val="20"/>
        </w:rPr>
        <w:t>Filing preparation</w:t>
      </w:r>
      <w:r>
        <w:rPr>
          <w:b w:val="0"/>
          <w:i w:val="0"/>
          <w:sz w:val="20"/>
        </w:rPr>
        <w:t xml:space="preserve"> — Compact submission assembled; CA and FL prepared in parallel.</w:t>
      </w:r>
    </w:p>
    <w:p>
      <w:pPr>
        <w:spacing w:after="120"/>
      </w:pPr>
      <w:r>
        <w:rPr>
          <w:b w:val="0"/>
          <w:i w:val="0"/>
          <w:sz w:val="20"/>
        </w:rPr>
        <w:t xml:space="preserve">Stage 2 explicitly does </w:t>
      </w:r>
      <w:r>
        <w:rPr>
          <w:b/>
          <w:i w:val="0"/>
          <w:sz w:val="20"/>
        </w:rPr>
        <w:t>not</w:t>
      </w:r>
      <w:r>
        <w:rPr>
          <w:b w:val="0"/>
          <w:i w:val="0"/>
          <w:sz w:val="20"/>
        </w:rPr>
        <w:t xml:space="preserve"> include filing submission, pilot selling, or advisor training. Those sit in Stages 3 and 4 behind gates that have not been passed.</w:t>
      </w:r>
    </w:p>
    <w:p>
      <w:pPr>
        <w:spacing w:before="280" w:after="80"/>
      </w:pPr>
      <w:r>
        <w:rPr>
          <w:b/>
          <w:i w:val="0"/>
          <w:color w:val="14352A"/>
          <w:sz w:val="28"/>
        </w:rPr>
        <w:t>13. Regulatory Route</w:t>
      </w:r>
    </w:p>
    <w:p>
      <w:pPr>
        <w:spacing w:after="120"/>
      </w:pPr>
      <w:r>
        <w:rPr>
          <w:b w:val="0"/>
          <w:i w:val="0"/>
          <w:sz w:val="20"/>
        </w:rPr>
        <w:t xml:space="preserve">The product is filed as an individual deferred non-variable annuity through the </w:t>
      </w:r>
      <w:r>
        <w:rPr>
          <w:b/>
          <w:i w:val="0"/>
          <w:sz w:val="20"/>
        </w:rPr>
        <w:t>Interstate Insurance Product Regulation Commission</w:t>
      </w:r>
      <w:r>
        <w:rPr>
          <w:b w:val="0"/>
          <w:i w:val="0"/>
          <w:sz w:val="20"/>
        </w:rPr>
        <w:t xml:space="preserve"> — the Compact — giving a single submission against uniform standards for member states. States that are not Compact members are filed separately through SERFF.</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Route</w:t>
            </w:r>
          </w:p>
        </w:tc>
        <w:tc>
          <w:tcPr>
            <w:tcW w:type="dxa" w:w="3216"/>
            <w:shd w:val="clear" w:fill="14352A"/>
          </w:tcPr>
          <w:p>
            <w:pPr>
              <w:spacing w:before="40" w:after="40"/>
            </w:pPr>
            <w:r>
              <w:rPr>
                <w:b/>
                <w:i w:val="0"/>
                <w:color w:val="FFFFFF"/>
                <w:sz w:val="17"/>
              </w:rPr>
              <w:t>Scope</w:t>
            </w:r>
          </w:p>
        </w:tc>
        <w:tc>
          <w:tcPr>
            <w:tcW w:type="dxa" w:w="3216"/>
            <w:shd w:val="clear" w:fill="14352A"/>
          </w:tcPr>
          <w:p>
            <w:pPr>
              <w:spacing w:before="40" w:after="40"/>
            </w:pPr>
            <w:r>
              <w:rPr>
                <w:b/>
                <w:i w:val="0"/>
                <w:color w:val="FFFFFF"/>
                <w:sz w:val="17"/>
              </w:rPr>
              <w:t>Dependency</w:t>
            </w:r>
          </w:p>
        </w:tc>
      </w:tr>
      <w:tr>
        <w:tc>
          <w:tcPr>
            <w:tcW w:type="dxa" w:w="3216"/>
          </w:tcPr>
          <w:p>
            <w:pPr>
              <w:spacing w:before="40" w:after="40"/>
            </w:pPr>
            <w:r>
              <w:rPr>
                <w:b w:val="0"/>
                <w:i w:val="0"/>
                <w:sz w:val="17"/>
              </w:rPr>
              <w:t>Compact submission</w:t>
            </w:r>
          </w:p>
        </w:tc>
        <w:tc>
          <w:tcPr>
            <w:tcW w:type="dxa" w:w="3216"/>
          </w:tcPr>
          <w:p>
            <w:pPr>
              <w:spacing w:before="40" w:after="40"/>
            </w:pPr>
            <w:r>
              <w:rPr>
                <w:b w:val="0"/>
                <w:i w:val="0"/>
                <w:sz w:val="17"/>
              </w:rPr>
              <w:t>Member states — the substantial majority of the launch footprint</w:t>
            </w:r>
          </w:p>
        </w:tc>
        <w:tc>
          <w:tcPr>
            <w:tcW w:type="dxa" w:w="3216"/>
          </w:tcPr>
          <w:p>
            <w:pPr>
              <w:spacing w:before="40" w:after="40"/>
            </w:pPr>
            <w:r>
              <w:rPr>
                <w:b/>
                <w:i w:val="0"/>
                <w:sz w:val="17"/>
              </w:rPr>
              <w:t>DEP-01</w:t>
            </w:r>
            <w:r>
              <w:rPr>
                <w:b w:val="0"/>
                <w:i w:val="0"/>
                <w:sz w:val="17"/>
              </w:rPr>
              <w:t xml:space="preserve"> — the review clock is the regulator's, not ours</w:t>
            </w:r>
          </w:p>
        </w:tc>
      </w:tr>
      <w:tr>
        <w:tc>
          <w:tcPr>
            <w:tcW w:type="dxa" w:w="3216"/>
          </w:tcPr>
          <w:p>
            <w:pPr>
              <w:spacing w:before="40" w:after="40"/>
            </w:pPr>
            <w:r>
              <w:rPr>
                <w:b w:val="0"/>
                <w:i w:val="0"/>
                <w:sz w:val="17"/>
              </w:rPr>
              <w:t>Separate SERFF filings</w:t>
            </w:r>
          </w:p>
        </w:tc>
        <w:tc>
          <w:tcPr>
            <w:tcW w:type="dxa" w:w="3216"/>
          </w:tcPr>
          <w:p>
            <w:pPr>
              <w:spacing w:before="40" w:after="40"/>
            </w:pPr>
            <w:r>
              <w:rPr>
                <w:b w:val="0"/>
                <w:i w:val="0"/>
                <w:sz w:val="17"/>
              </w:rPr>
              <w:t>California, Florida</w:t>
            </w:r>
          </w:p>
        </w:tc>
        <w:tc>
          <w:tcPr>
            <w:tcW w:type="dxa" w:w="3216"/>
          </w:tcPr>
          <w:p>
            <w:pPr>
              <w:spacing w:before="40" w:after="40"/>
            </w:pPr>
            <w:r>
              <w:rPr>
                <w:b/>
                <w:i w:val="0"/>
                <w:sz w:val="17"/>
              </w:rPr>
              <w:t>DEP-02</w:t>
            </w:r>
            <w:r>
              <w:rPr>
                <w:b w:val="0"/>
                <w:i w:val="0"/>
                <w:sz w:val="17"/>
              </w:rPr>
              <w:t xml:space="preserve"> — independent review timelines (</w:t>
            </w:r>
            <w:r>
              <w:rPr>
                <w:b/>
                <w:i w:val="0"/>
                <w:sz w:val="17"/>
              </w:rPr>
              <w:t>R-02</w:t>
            </w:r>
            <w:r>
              <w:rPr>
                <w:b w:val="0"/>
                <w:i w:val="0"/>
                <w:sz w:val="17"/>
              </w:rPr>
              <w:t>)</w:t>
            </w:r>
          </w:p>
        </w:tc>
      </w:tr>
      <w:tr>
        <w:tc>
          <w:tcPr>
            <w:tcW w:type="dxa" w:w="3216"/>
          </w:tcPr>
          <w:p>
            <w:pPr>
              <w:spacing w:before="40" w:after="40"/>
            </w:pPr>
            <w:r>
              <w:rPr>
                <w:b/>
                <w:i w:val="0"/>
                <w:sz w:val="17"/>
              </w:rPr>
              <w:t>New York — excluded</w:t>
            </w:r>
          </w:p>
        </w:tc>
        <w:tc>
          <w:tcPr>
            <w:tcW w:type="dxa" w:w="3216"/>
          </w:tcPr>
          <w:p>
            <w:pPr>
              <w:spacing w:before="40" w:after="40"/>
            </w:pPr>
            <w:r>
              <w:rPr>
                <w:b w:val="0"/>
                <w:i w:val="0"/>
                <w:sz w:val="17"/>
              </w:rPr>
              <w:t>Not in launch scope</w:t>
            </w:r>
          </w:p>
        </w:tc>
        <w:tc>
          <w:tcPr>
            <w:tcW w:type="dxa" w:w="3216"/>
          </w:tcPr>
          <w:p>
            <w:pPr>
              <w:spacing w:before="40" w:after="40"/>
            </w:pPr>
            <w:r>
              <w:rPr>
                <w:b/>
                <w:i w:val="0"/>
                <w:sz w:val="17"/>
              </w:rPr>
              <w:t>A-03</w:t>
            </w:r>
            <w:r>
              <w:rPr>
                <w:b w:val="0"/>
                <w:i w:val="0"/>
                <w:sz w:val="17"/>
              </w:rPr>
              <w:t xml:space="preserve"> / </w:t>
            </w:r>
            <w:r>
              <w:rPr>
                <w:b/>
                <w:i w:val="0"/>
                <w:sz w:val="17"/>
              </w:rPr>
              <w:t>D-02</w:t>
            </w:r>
            <w:r>
              <w:rPr>
                <w:b w:val="0"/>
                <w:i w:val="0"/>
                <w:sz w:val="17"/>
              </w:rPr>
              <w:t xml:space="preserve">, condition </w:t>
            </w:r>
            <w:r>
              <w:rPr>
                <w:b/>
                <w:i w:val="0"/>
                <w:sz w:val="17"/>
              </w:rPr>
              <w:t>GC-02</w:t>
            </w:r>
          </w:p>
        </w:tc>
      </w:tr>
    </w:tbl>
    <w:p/>
    <w:p>
      <w:pPr>
        <w:spacing w:after="120"/>
      </w:pPr>
      <w:r>
        <w:rPr>
          <w:b w:val="0"/>
          <w:i w:val="0"/>
          <w:sz w:val="20"/>
        </w:rPr>
        <w:t>Suitability and best-interest obligations under the NAIC model regulation as adopted by each state drive advisor training and disclosure scope in Stage 4. They are a real cost of launch and are carried in the program budget rather than treated as a compliance afterthought.</w:t>
      </w:r>
    </w:p>
    <w:p>
      <w:pPr>
        <w:spacing w:before="280" w:after="80"/>
      </w:pPr>
      <w:r>
        <w:rPr>
          <w:b/>
          <w:i w:val="0"/>
          <w:color w:val="14352A"/>
          <w:sz w:val="28"/>
        </w:rPr>
        <w:t>14. Risk Position at Gate 1</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ID</w:t>
            </w:r>
          </w:p>
        </w:tc>
        <w:tc>
          <w:tcPr>
            <w:tcW w:type="dxa" w:w="3216"/>
            <w:shd w:val="clear" w:fill="14352A"/>
          </w:tcPr>
          <w:p>
            <w:pPr>
              <w:spacing w:before="40" w:after="40"/>
            </w:pPr>
            <w:r>
              <w:rPr>
                <w:b/>
                <w:i w:val="0"/>
                <w:color w:val="FFFFFF"/>
                <w:sz w:val="17"/>
              </w:rPr>
              <w:t>Risk</w:t>
            </w:r>
          </w:p>
        </w:tc>
        <w:tc>
          <w:tcPr>
            <w:tcW w:type="dxa" w:w="3216"/>
            <w:shd w:val="clear" w:fill="14352A"/>
          </w:tcPr>
          <w:p>
            <w:pPr>
              <w:spacing w:before="40" w:after="40"/>
            </w:pPr>
            <w:r>
              <w:rPr>
                <w:b/>
                <w:i w:val="0"/>
                <w:color w:val="FFFFFF"/>
                <w:sz w:val="17"/>
              </w:rPr>
              <w:t>Why it matters to this decision</w:t>
            </w:r>
          </w:p>
        </w:tc>
      </w:tr>
      <w:tr>
        <w:tc>
          <w:tcPr>
            <w:tcW w:type="dxa" w:w="3216"/>
          </w:tcPr>
          <w:p>
            <w:pPr>
              <w:spacing w:before="40" w:after="40"/>
            </w:pPr>
            <w:r>
              <w:rPr>
                <w:b/>
                <w:i w:val="0"/>
                <w:sz w:val="17"/>
              </w:rPr>
              <w:t>R-03</w:t>
            </w:r>
          </w:p>
        </w:tc>
        <w:tc>
          <w:tcPr>
            <w:tcW w:type="dxa" w:w="3216"/>
          </w:tcPr>
          <w:p>
            <w:pPr>
              <w:spacing w:before="40" w:after="40"/>
            </w:pPr>
            <w:r>
              <w:rPr>
                <w:b w:val="0"/>
                <w:i w:val="0"/>
                <w:sz w:val="17"/>
              </w:rPr>
              <w:t>Option budget compresses; illustrated cap falls below the competitive floor</w:t>
            </w:r>
          </w:p>
        </w:tc>
        <w:tc>
          <w:tcPr>
            <w:tcW w:type="dxa" w:w="3216"/>
          </w:tcPr>
          <w:p>
            <w:pPr>
              <w:spacing w:before="40" w:after="40"/>
            </w:pPr>
            <w:r>
              <w:rPr>
                <w:b w:val="0"/>
                <w:i w:val="0"/>
                <w:sz w:val="17"/>
              </w:rPr>
              <w:t>Directly attacks the volume forecast. Mitigated by fixing the floor at this gate (§6)</w:t>
            </w:r>
          </w:p>
        </w:tc>
      </w:tr>
      <w:tr>
        <w:tc>
          <w:tcPr>
            <w:tcW w:type="dxa" w:w="3216"/>
          </w:tcPr>
          <w:p>
            <w:pPr>
              <w:spacing w:before="40" w:after="40"/>
            </w:pPr>
            <w:r>
              <w:rPr>
                <w:b/>
                <w:i w:val="0"/>
                <w:sz w:val="17"/>
              </w:rPr>
              <w:t>R-06</w:t>
            </w:r>
          </w:p>
        </w:tc>
        <w:tc>
          <w:tcPr>
            <w:tcW w:type="dxa" w:w="3216"/>
          </w:tcPr>
          <w:p>
            <w:pPr>
              <w:spacing w:before="40" w:after="40"/>
            </w:pPr>
            <w:r>
              <w:rPr>
                <w:b w:val="0"/>
                <w:i w:val="0"/>
                <w:sz w:val="17"/>
              </w:rPr>
              <w:t>Pricing assumptions unsupportable under external review</w:t>
            </w:r>
          </w:p>
        </w:tc>
        <w:tc>
          <w:tcPr>
            <w:tcW w:type="dxa" w:w="3216"/>
          </w:tcPr>
          <w:p>
            <w:pPr>
              <w:spacing w:before="40" w:after="40"/>
            </w:pPr>
            <w:r>
              <w:rPr>
                <w:b w:val="0"/>
                <w:i w:val="0"/>
                <w:sz w:val="17"/>
              </w:rPr>
              <w:t>Would invalidate the return in §9. Argues for an independent review before Gate 2</w:t>
            </w:r>
          </w:p>
        </w:tc>
      </w:tr>
      <w:tr>
        <w:tc>
          <w:tcPr>
            <w:tcW w:type="dxa" w:w="3216"/>
          </w:tcPr>
          <w:p>
            <w:pPr>
              <w:spacing w:before="40" w:after="40"/>
            </w:pPr>
            <w:r>
              <w:rPr>
                <w:b/>
                <w:i w:val="0"/>
                <w:sz w:val="17"/>
              </w:rPr>
              <w:t>R-07</w:t>
            </w:r>
          </w:p>
        </w:tc>
        <w:tc>
          <w:tcPr>
            <w:tcW w:type="dxa" w:w="3216"/>
          </w:tcPr>
          <w:p>
            <w:pPr>
              <w:spacing w:before="40" w:after="40"/>
            </w:pPr>
            <w:r>
              <w:rPr>
                <w:b w:val="0"/>
                <w:i w:val="0"/>
                <w:sz w:val="17"/>
              </w:rPr>
              <w:t>Distribution partners deprioritise against competitor launches</w:t>
            </w:r>
          </w:p>
        </w:tc>
        <w:tc>
          <w:tcPr>
            <w:tcW w:type="dxa" w:w="3216"/>
          </w:tcPr>
          <w:p>
            <w:pPr>
              <w:spacing w:before="40" w:after="40"/>
            </w:pPr>
            <w:r>
              <w:rPr>
                <w:b w:val="0"/>
                <w:i w:val="0"/>
                <w:sz w:val="17"/>
              </w:rPr>
              <w:t>Combines with the $17,000,000 uncommitted gap to produce the §11 downside</w:t>
            </w:r>
          </w:p>
        </w:tc>
      </w:tr>
      <w:tr>
        <w:tc>
          <w:tcPr>
            <w:tcW w:type="dxa" w:w="3216"/>
          </w:tcPr>
          <w:p>
            <w:pPr>
              <w:spacing w:before="40" w:after="40"/>
            </w:pPr>
            <w:r>
              <w:rPr>
                <w:b/>
                <w:i w:val="0"/>
                <w:sz w:val="17"/>
              </w:rPr>
              <w:t>R-05</w:t>
            </w:r>
          </w:p>
        </w:tc>
        <w:tc>
          <w:tcPr>
            <w:tcW w:type="dxa" w:w="3216"/>
          </w:tcPr>
          <w:p>
            <w:pPr>
              <w:spacing w:before="40" w:after="40"/>
            </w:pPr>
            <w:r>
              <w:rPr>
                <w:b w:val="0"/>
                <w:i w:val="0"/>
                <w:sz w:val="17"/>
              </w:rPr>
              <w:t>Hedging readiness lags launch</w:t>
            </w:r>
          </w:p>
        </w:tc>
        <w:tc>
          <w:tcPr>
            <w:tcW w:type="dxa" w:w="3216"/>
          </w:tcPr>
          <w:p>
            <w:pPr>
              <w:spacing w:before="40" w:after="40"/>
            </w:pPr>
            <w:r>
              <w:rPr>
                <w:b w:val="0"/>
                <w:i w:val="0"/>
                <w:sz w:val="17"/>
              </w:rPr>
              <w:t>Cannot sell a guarantee that cannot be hedged. Argues for a dated readiness plan at Gate 2</w:t>
            </w:r>
          </w:p>
        </w:tc>
      </w:tr>
      <w:tr>
        <w:tc>
          <w:tcPr>
            <w:tcW w:type="dxa" w:w="3216"/>
          </w:tcPr>
          <w:p>
            <w:pPr>
              <w:spacing w:before="40" w:after="40"/>
            </w:pPr>
            <w:r>
              <w:rPr>
                <w:b/>
                <w:i w:val="0"/>
                <w:sz w:val="17"/>
              </w:rPr>
              <w:t>R-01</w:t>
            </w:r>
            <w:r>
              <w:rPr>
                <w:b w:val="0"/>
                <w:i w:val="0"/>
                <w:sz w:val="17"/>
              </w:rPr>
              <w:t xml:space="preserve">, </w:t>
            </w:r>
            <w:r>
              <w:rPr>
                <w:b/>
                <w:i w:val="0"/>
                <w:sz w:val="17"/>
              </w:rPr>
              <w:t>R-02</w:t>
            </w:r>
          </w:p>
        </w:tc>
        <w:tc>
          <w:tcPr>
            <w:tcW w:type="dxa" w:w="3216"/>
          </w:tcPr>
          <w:p>
            <w:pPr>
              <w:spacing w:before="40" w:after="40"/>
            </w:pPr>
            <w:r>
              <w:rPr>
                <w:b w:val="0"/>
                <w:i w:val="0"/>
                <w:sz w:val="17"/>
              </w:rPr>
              <w:t>Filing review extends; non-Compact states approve late</w:t>
            </w:r>
          </w:p>
        </w:tc>
        <w:tc>
          <w:tcPr>
            <w:tcW w:type="dxa" w:w="3216"/>
          </w:tcPr>
          <w:p>
            <w:pPr>
              <w:spacing w:before="40" w:after="40"/>
            </w:pPr>
            <w:r>
              <w:rPr>
                <w:b w:val="0"/>
                <w:i w:val="0"/>
                <w:sz w:val="17"/>
              </w:rPr>
              <w:t>Schedule risk against a launch date set by the distribution cycle</w:t>
            </w:r>
          </w:p>
        </w:tc>
      </w:tr>
      <w:tr>
        <w:tc>
          <w:tcPr>
            <w:tcW w:type="dxa" w:w="3216"/>
          </w:tcPr>
          <w:p>
            <w:pPr>
              <w:spacing w:before="40" w:after="40"/>
            </w:pPr>
            <w:r>
              <w:rPr>
                <w:b/>
                <w:i w:val="0"/>
                <w:sz w:val="17"/>
              </w:rPr>
              <w:t>R-10</w:t>
            </w:r>
          </w:p>
        </w:tc>
        <w:tc>
          <w:tcPr>
            <w:tcW w:type="dxa" w:w="3216"/>
          </w:tcPr>
          <w:p>
            <w:pPr>
              <w:spacing w:before="40" w:after="40"/>
            </w:pPr>
            <w:r>
              <w:rPr>
                <w:b w:val="0"/>
                <w:i w:val="0"/>
                <w:sz w:val="17"/>
              </w:rPr>
              <w:t>Single credentialed pricing actuary on the critical path</w:t>
            </w:r>
          </w:p>
        </w:tc>
        <w:tc>
          <w:tcPr>
            <w:tcW w:type="dxa" w:w="3216"/>
          </w:tcPr>
          <w:p>
            <w:pPr>
              <w:spacing w:before="40" w:after="40"/>
            </w:pPr>
            <w:r>
              <w:rPr>
                <w:b w:val="0"/>
                <w:i w:val="0"/>
                <w:sz w:val="17"/>
              </w:rPr>
              <w:t>Concentration in the one role the must-meet certification depends on</w:t>
            </w:r>
          </w:p>
        </w:tc>
      </w:tr>
    </w:tbl>
    <w:p/>
    <w:p>
      <w:pPr>
        <w:spacing w:before="280" w:after="80"/>
      </w:pPr>
      <w:r>
        <w:rPr>
          <w:b/>
          <w:i w:val="0"/>
          <w:color w:val="14352A"/>
          <w:sz w:val="28"/>
        </w:rPr>
        <w:t>15. Assumptions on Which This Case Rests</w:t>
      </w:r>
    </w:p>
    <w:p>
      <w:pPr>
        <w:spacing w:after="120"/>
      </w:pPr>
      <w:r>
        <w:rPr>
          <w:b w:val="0"/>
          <w:i w:val="0"/>
          <w:sz w:val="20"/>
        </w:rPr>
        <w:t>If any of these fails, the case does not merely weaken — it needs rebuilding.</w:t>
      </w:r>
    </w:p>
    <w:p>
      <w:pPr>
        <w:pStyle w:val="ListBullet"/>
        <w:spacing w:after="60"/>
      </w:pPr>
      <w:r>
        <w:rPr>
          <w:b/>
          <w:i w:val="0"/>
          <w:sz w:val="20"/>
        </w:rPr>
        <w:t>A-02</w:t>
      </w:r>
      <w:r>
        <w:rPr>
          <w:b w:val="0"/>
          <w:i w:val="0"/>
          <w:sz w:val="20"/>
        </w:rPr>
        <w:t xml:space="preserve"> — the Compact accepts the product under existing uniform standards; no new standard is required.</w:t>
      </w:r>
    </w:p>
    <w:p>
      <w:pPr>
        <w:pStyle w:val="ListBullet"/>
        <w:spacing w:after="60"/>
      </w:pPr>
      <w:r>
        <w:rPr>
          <w:b/>
          <w:i w:val="0"/>
          <w:sz w:val="20"/>
        </w:rPr>
        <w:t>A-03</w:t>
      </w:r>
      <w:r>
        <w:rPr>
          <w:b w:val="0"/>
          <w:i w:val="0"/>
          <w:sz w:val="20"/>
        </w:rPr>
        <w:t xml:space="preserve"> — New York is out of scope; no NY-specific build occurs.</w:t>
      </w:r>
    </w:p>
    <w:p>
      <w:pPr>
        <w:pStyle w:val="ListBullet"/>
        <w:spacing w:after="60"/>
      </w:pPr>
      <w:r>
        <w:rPr>
          <w:b/>
          <w:i w:val="0"/>
          <w:sz w:val="20"/>
        </w:rPr>
        <w:t>A-04</w:t>
      </w:r>
      <w:r>
        <w:rPr>
          <w:b w:val="0"/>
          <w:i w:val="0"/>
          <w:sz w:val="20"/>
        </w:rPr>
        <w:t xml:space="preserve"> / </w:t>
      </w:r>
      <w:r>
        <w:rPr>
          <w:b/>
          <w:i w:val="0"/>
          <w:sz w:val="20"/>
        </w:rPr>
        <w:t>D-07</w:t>
      </w:r>
      <w:r>
        <w:rPr>
          <w:b w:val="0"/>
          <w:i w:val="0"/>
          <w:sz w:val="20"/>
        </w:rPr>
        <w:t xml:space="preserve"> — the existing administration platform is extended, not replaced.</w:t>
      </w:r>
    </w:p>
    <w:p>
      <w:pPr>
        <w:pStyle w:val="ListBullet"/>
        <w:spacing w:after="60"/>
      </w:pPr>
      <w:r>
        <w:rPr>
          <w:b/>
          <w:i w:val="0"/>
          <w:sz w:val="20"/>
        </w:rPr>
        <w:t>A-05</w:t>
      </w:r>
      <w:r>
        <w:rPr>
          <w:b w:val="0"/>
          <w:i w:val="0"/>
          <w:sz w:val="20"/>
        </w:rPr>
        <w:t xml:space="preserve"> — distribution runs through existing IMO relationships; no new channel.</w:t>
      </w:r>
    </w:p>
    <w:p>
      <w:pPr>
        <w:pStyle w:val="ListBullet"/>
        <w:spacing w:after="60"/>
      </w:pPr>
      <w:r>
        <w:rPr>
          <w:b/>
          <w:i w:val="0"/>
          <w:sz w:val="20"/>
        </w:rPr>
        <w:t>A-06</w:t>
      </w:r>
      <w:r>
        <w:rPr>
          <w:b w:val="0"/>
          <w:i w:val="0"/>
          <w:sz w:val="20"/>
        </w:rPr>
        <w:t xml:space="preserve"> — hedging is executed in-house by the Investments desk.</w:t>
      </w:r>
    </w:p>
    <w:p>
      <w:pPr>
        <w:pStyle w:val="ListBullet"/>
        <w:spacing w:after="60"/>
      </w:pPr>
      <w:r>
        <w:rPr>
          <w:b/>
          <w:i w:val="0"/>
          <w:sz w:val="20"/>
        </w:rPr>
        <w:t>A-07</w:t>
      </w:r>
      <w:r>
        <w:rPr>
          <w:b w:val="0"/>
          <w:i w:val="0"/>
          <w:sz w:val="20"/>
        </w:rPr>
        <w:t xml:space="preserve"> — the rate environment stays within the pricing corridor used here.</w:t>
      </w:r>
    </w:p>
    <w:p>
      <w:pPr>
        <w:pStyle w:val="ListBullet"/>
        <w:spacing w:after="60"/>
      </w:pPr>
      <w:r>
        <w:rPr>
          <w:b/>
          <w:i w:val="0"/>
          <w:sz w:val="20"/>
        </w:rPr>
        <w:t>A-08</w:t>
      </w:r>
      <w:r>
        <w:rPr>
          <w:b w:val="0"/>
          <w:i w:val="0"/>
          <w:sz w:val="20"/>
        </w:rPr>
        <w:t xml:space="preserve"> — no competing internal launch draws the same actuarial and IT capacity in 2027.</w:t>
      </w:r>
    </w:p>
    <w:p>
      <w:pPr>
        <w:spacing w:before="360"/>
      </w:pPr>
      <w:r>
        <w:rPr>
          <w:b/>
          <w:i w:val="0"/>
          <w:color w:val="1E5945"/>
          <w:sz w:val="22"/>
        </w:rPr>
        <w:t>Part V — The Decision</w:t>
      </w:r>
    </w:p>
    <w:p>
      <w:pPr>
        <w:spacing w:before="280" w:after="80"/>
      </w:pPr>
      <w:r>
        <w:rPr>
          <w:b/>
          <w:i w:val="0"/>
          <w:color w:val="14352A"/>
          <w:sz w:val="28"/>
        </w:rPr>
        <w:t>16. Dissent Tabled With This Package</w:t>
      </w:r>
    </w:p>
    <w:p>
      <w:pPr>
        <w:spacing w:after="120"/>
      </w:pPr>
      <w:r>
        <w:rPr>
          <w:b w:val="0"/>
          <w:i w:val="0"/>
          <w:sz w:val="20"/>
        </w:rPr>
        <w:t>The Gate Decision Framework requires that material analysis not supporting the recommendation is tabled with it, attributed, and not summarised away. Two items are tabled.</w:t>
      </w:r>
    </w:p>
    <w:tbl>
      <w:tblPr>
        <w:tblStyle w:val="TableGrid"/>
        <w:tblW w:type="auto" w:w="0"/>
        <w:tblLook w:firstColumn="1" w:firstRow="1" w:lastColumn="0" w:lastRow="0" w:noHBand="0" w:noVBand="1" w:val="04A0"/>
      </w:tblPr>
      <w:tblGrid>
        <w:gridCol w:w="9648"/>
      </w:tblGrid>
      <w:tr>
        <w:tc>
          <w:tcPr>
            <w:tcW w:type="dxa" w:w="9648"/>
            <w:shd w:val="clear" w:fill="FFFDF7"/>
          </w:tcPr>
          <w:p>
            <w:pPr>
              <w:spacing w:before="200" w:after="80"/>
            </w:pPr>
            <w:r>
              <w:rPr>
                <w:b/>
                <w:i w:val="0"/>
                <w:color w:val="1B2130"/>
                <w:sz w:val="21"/>
              </w:rPr>
              <w:t>Dissent 1 — Distribution: the wholesaler plan is not funded to the volume forecast</w:t>
            </w:r>
          </w:p>
          <w:p>
            <w:pPr>
              <w:spacing w:after="120"/>
            </w:pPr>
            <w:r>
              <w:rPr>
                <w:b w:val="0"/>
                <w:i/>
                <w:sz w:val="20"/>
              </w:rPr>
              <w:t>Raised by the Distribution function, 11 June 2026.</w:t>
            </w:r>
          </w:p>
          <w:p>
            <w:pPr>
              <w:spacing w:after="120"/>
            </w:pPr>
            <w:r>
              <w:rPr>
                <w:b w:val="0"/>
                <w:i w:val="0"/>
                <w:sz w:val="20"/>
              </w:rPr>
              <w:t xml:space="preserve">The volume curve at §8 assumes 6 field wholesalers supporting the launch. Distribution can commit </w:t>
            </w:r>
            <w:r>
              <w:rPr>
                <w:b/>
                <w:i w:val="0"/>
                <w:sz w:val="20"/>
              </w:rPr>
              <w:t>4</w:t>
            </w:r>
            <w:r>
              <w:rPr>
                <w:b w:val="0"/>
                <w:i w:val="0"/>
                <w:sz w:val="20"/>
              </w:rPr>
              <w:t>. The shortfall is not a resourcing detail: field wholesaler coverage is the principal driver of how quickly a new annuity enters producers' standing recommendation sets, and the Year 2 and Year 3 acceleration in the forecast assumes that entry happens on schedule.</w:t>
            </w:r>
          </w:p>
          <w:p>
            <w:pPr>
              <w:spacing w:after="120"/>
            </w:pPr>
            <w:r>
              <w:rPr>
                <w:b w:val="0"/>
                <w:i w:val="0"/>
                <w:sz w:val="20"/>
              </w:rPr>
              <w:t xml:space="preserve">Recorded as issue </w:t>
            </w:r>
            <w:r>
              <w:rPr>
                <w:b/>
                <w:i w:val="0"/>
                <w:sz w:val="20"/>
              </w:rPr>
              <w:t>I-06</w:t>
            </w:r>
            <w:r>
              <w:rPr>
                <w:b w:val="0"/>
                <w:i w:val="0"/>
                <w:sz w:val="20"/>
              </w:rPr>
              <w:t>. The Distribution view is that the forecast should be treated as achievable only if the coverage gap is closed before Stage 4, and that the $17,000,000 uncommitted Year 1 premium should be read alongside it rather than separately.</w:t>
            </w:r>
          </w:p>
        </w:tc>
      </w:tr>
    </w:tbl>
    <w:p/>
    <w:tbl>
      <w:tblPr>
        <w:tblStyle w:val="TableGrid"/>
        <w:tblW w:type="auto" w:w="0"/>
        <w:tblLook w:firstColumn="1" w:firstRow="1" w:lastColumn="0" w:lastRow="0" w:noHBand="0" w:noVBand="1" w:val="04A0"/>
      </w:tblPr>
      <w:tblGrid>
        <w:gridCol w:w="9648"/>
      </w:tblGrid>
      <w:tr>
        <w:tc>
          <w:tcPr>
            <w:tcW w:type="dxa" w:w="9648"/>
            <w:shd w:val="clear" w:fill="FFFDF7"/>
          </w:tcPr>
          <w:p>
            <w:pPr>
              <w:spacing w:before="200" w:after="80"/>
            </w:pPr>
            <w:r>
              <w:rPr>
                <w:b/>
                <w:i w:val="0"/>
                <w:color w:val="1B2130"/>
                <w:sz w:val="21"/>
              </w:rPr>
              <w:t>Dissent 2 — Risk: concentration in a single crediting strategy</w:t>
            </w:r>
          </w:p>
          <w:p>
            <w:pPr>
              <w:spacing w:after="120"/>
            </w:pPr>
            <w:r>
              <w:rPr>
                <w:b w:val="0"/>
                <w:i/>
                <w:sz w:val="20"/>
              </w:rPr>
              <w:t>Raised by the Chief Risk Officer as observer, 11 June 2026.</w:t>
            </w:r>
          </w:p>
          <w:p>
            <w:pPr>
              <w:spacing w:after="120"/>
            </w:pPr>
            <w:r>
              <w:rPr>
                <w:b w:val="0"/>
                <w:i w:val="0"/>
                <w:sz w:val="20"/>
              </w:rPr>
              <w:t>Reducing from five crediting strategies to three (</w:t>
            </w:r>
            <w:r>
              <w:rPr>
                <w:b/>
                <w:i w:val="0"/>
                <w:sz w:val="20"/>
              </w:rPr>
              <w:t>D-03</w:t>
            </w:r>
            <w:r>
              <w:rPr>
                <w:b w:val="0"/>
                <w:i w:val="0"/>
                <w:sz w:val="20"/>
              </w:rPr>
              <w:t>) was the right call on build cost, but it raises the likelihood that sales concentrate in the indexed point-to-point strategy. A concentrated book is a more concentrated hedging exposure than the pricing assumes, and the effect is not visible in the Year 1 numbers.</w:t>
            </w:r>
          </w:p>
          <w:p>
            <w:pPr>
              <w:spacing w:after="120"/>
            </w:pPr>
            <w:r>
              <w:rPr>
                <w:b w:val="0"/>
                <w:i w:val="0"/>
                <w:sz w:val="20"/>
              </w:rPr>
              <w:t xml:space="preserve">Recorded as risk </w:t>
            </w:r>
            <w:r>
              <w:rPr>
                <w:b/>
                <w:i w:val="0"/>
                <w:sz w:val="20"/>
              </w:rPr>
              <w:t>R-12</w:t>
            </w:r>
            <w:r>
              <w:rPr>
                <w:b w:val="0"/>
                <w:i w:val="0"/>
                <w:sz w:val="20"/>
              </w:rPr>
              <w:t>. The CRO does not oppose the recommendation and has not asked for it to be varied; the position is recorded so that the concentration is a known consequence of a decision rather than a discovery at Gate 5.</w:t>
            </w:r>
          </w:p>
        </w:tc>
      </w:tr>
    </w:tbl>
    <w:p/>
    <w:p>
      <w:pPr>
        <w:spacing w:before="280" w:after="80"/>
      </w:pPr>
      <w:r>
        <w:rPr>
          <w:b/>
          <w:i w:val="0"/>
          <w:color w:val="14352A"/>
          <w:sz w:val="28"/>
        </w:rPr>
        <w:t>17. Scored Assessment &amp; Outcome</w:t>
      </w:r>
    </w:p>
    <w:p>
      <w:pPr>
        <w:spacing w:after="120"/>
      </w:pPr>
      <w:r>
        <w:rPr>
          <w:b w:val="0"/>
          <w:i w:val="0"/>
          <w:sz w:val="20"/>
        </w:rPr>
        <w:t xml:space="preserve">Assessed against the Gate 1 criteria fixed at Gate 0. Full scoring is in the </w:t>
      </w:r>
      <w:r>
        <w:rPr>
          <w:b w:val="0"/>
          <w:i w:val="0"/>
          <w:sz w:val="20"/>
        </w:rPr>
        <w:t>Gate Decision Framework</w:t>
      </w:r>
      <w:r>
        <w:rPr>
          <w:b w:val="0"/>
          <w:i w:val="0"/>
          <w:sz w:val="20"/>
        </w:rPr>
        <w:t xml:space="preserve"> §8.</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Tier</w:t>
            </w:r>
          </w:p>
        </w:tc>
        <w:tc>
          <w:tcPr>
            <w:tcW w:type="dxa" w:w="4824"/>
            <w:shd w:val="clear" w:fill="14352A"/>
          </w:tcPr>
          <w:p>
            <w:pPr>
              <w:spacing w:before="40" w:after="40"/>
            </w:pPr>
            <w:r>
              <w:rPr>
                <w:b/>
                <w:i w:val="0"/>
                <w:color w:val="FFFFFF"/>
                <w:sz w:val="17"/>
              </w:rPr>
              <w:t>Result</w:t>
            </w:r>
          </w:p>
        </w:tc>
      </w:tr>
      <w:tr>
        <w:tc>
          <w:tcPr>
            <w:tcW w:type="dxa" w:w="4824"/>
          </w:tcPr>
          <w:p>
            <w:pPr>
              <w:spacing w:before="40" w:after="40"/>
            </w:pPr>
            <w:r>
              <w:rPr>
                <w:b w:val="0"/>
                <w:i w:val="0"/>
                <w:sz w:val="17"/>
              </w:rPr>
              <w:t>Must-meet</w:t>
            </w:r>
          </w:p>
        </w:tc>
        <w:tc>
          <w:tcPr>
            <w:tcW w:type="dxa" w:w="4824"/>
          </w:tcPr>
          <w:p>
            <w:pPr>
              <w:spacing w:before="40" w:after="40"/>
            </w:pPr>
            <w:r>
              <w:rPr>
                <w:b/>
                <w:i w:val="0"/>
                <w:sz w:val="17"/>
              </w:rPr>
              <w:t>5 of 5 passed</w:t>
            </w:r>
            <w:r>
              <w:rPr>
                <w:b w:val="0"/>
                <w:i w:val="0"/>
                <w:sz w:val="17"/>
              </w:rPr>
              <w:t xml:space="preserve"> (§3)</w:t>
            </w:r>
          </w:p>
        </w:tc>
      </w:tr>
      <w:tr>
        <w:tc>
          <w:tcPr>
            <w:tcW w:type="dxa" w:w="4824"/>
          </w:tcPr>
          <w:p>
            <w:pPr>
              <w:spacing w:before="40" w:after="40"/>
            </w:pPr>
            <w:r>
              <w:rPr>
                <w:b w:val="0"/>
                <w:i w:val="0"/>
                <w:sz w:val="17"/>
              </w:rPr>
              <w:t>Weighted should-meet score</w:t>
            </w:r>
          </w:p>
        </w:tc>
        <w:tc>
          <w:tcPr>
            <w:tcW w:type="dxa" w:w="4824"/>
          </w:tcPr>
          <w:p>
            <w:pPr>
              <w:spacing w:before="40" w:after="40"/>
            </w:pPr>
            <w:r>
              <w:rPr>
                <w:b/>
                <w:i w:val="0"/>
                <w:sz w:val="17"/>
              </w:rPr>
              <w:t>3.20</w:t>
            </w:r>
            <w:r>
              <w:rPr>
                <w:b w:val="0"/>
                <w:i w:val="0"/>
                <w:sz w:val="17"/>
              </w:rPr>
              <w:t xml:space="preserve"> — conditions band (3.00–3.49)</w:t>
            </w:r>
          </w:p>
        </w:tc>
      </w:tr>
      <w:tr>
        <w:tc>
          <w:tcPr>
            <w:tcW w:type="dxa" w:w="4824"/>
          </w:tcPr>
          <w:p>
            <w:pPr>
              <w:spacing w:before="40" w:after="40"/>
            </w:pPr>
            <w:r>
              <w:rPr>
                <w:b w:val="0"/>
                <w:i w:val="0"/>
                <w:sz w:val="17"/>
              </w:rPr>
              <w:t>Outcome</w:t>
            </w:r>
          </w:p>
        </w:tc>
        <w:tc>
          <w:tcPr>
            <w:tcW w:type="dxa" w:w="4824"/>
          </w:tcPr>
          <w:p>
            <w:pPr>
              <w:spacing w:before="40" w:after="40"/>
            </w:pPr>
            <w:r>
              <w:rPr>
                <w:b w:val="0"/>
                <w:i w:val="0"/>
                <w:sz w:val="17"/>
              </w:rPr>
              <w:t>GO WITH CONDITIONS</w:t>
            </w:r>
            <w:r>
              <w:rPr>
                <w:b w:val="0"/>
                <w:i w:val="0"/>
                <w:sz w:val="17"/>
              </w:rPr>
              <w:t xml:space="preserve"> carried </w:t>
            </w:r>
            <w:r>
              <w:rPr>
                <w:b/>
                <w:i w:val="0"/>
                <w:sz w:val="17"/>
              </w:rPr>
              <w:t>4–0–1</w:t>
            </w:r>
          </w:p>
        </w:tc>
      </w:tr>
      <w:tr>
        <w:tc>
          <w:tcPr>
            <w:tcW w:type="dxa" w:w="4824"/>
          </w:tcPr>
          <w:p>
            <w:pPr>
              <w:spacing w:before="40" w:after="40"/>
            </w:pPr>
            <w:r>
              <w:rPr>
                <w:b w:val="0"/>
                <w:i w:val="0"/>
                <w:sz w:val="17"/>
              </w:rPr>
              <w:t>Abstention</w:t>
            </w:r>
          </w:p>
        </w:tc>
        <w:tc>
          <w:tcPr>
            <w:tcW w:type="dxa" w:w="4824"/>
          </w:tcPr>
          <w:p>
            <w:pPr>
              <w:spacing w:before="40" w:after="40"/>
            </w:pPr>
            <w:r>
              <w:rPr>
                <w:b w:val="0"/>
                <w:i w:val="0"/>
                <w:sz w:val="17"/>
              </w:rPr>
              <w:t xml:space="preserve">B. Lindqvist, GC &amp; CCO — pending the New York deferral memorandum, subsequently closed as </w:t>
            </w:r>
            <w:r>
              <w:rPr>
                <w:b/>
                <w:i w:val="0"/>
                <w:sz w:val="17"/>
              </w:rPr>
              <w:t>GC-02</w:t>
            </w:r>
          </w:p>
        </w:tc>
      </w:tr>
      <w:tr>
        <w:tc>
          <w:tcPr>
            <w:tcW w:type="dxa" w:w="4824"/>
          </w:tcPr>
          <w:p>
            <w:pPr>
              <w:spacing w:before="40" w:after="40"/>
            </w:pPr>
            <w:r>
              <w:rPr>
                <w:b w:val="0"/>
                <w:i w:val="0"/>
                <w:sz w:val="17"/>
              </w:rPr>
              <w:t>Released</w:t>
            </w:r>
          </w:p>
        </w:tc>
        <w:tc>
          <w:tcPr>
            <w:tcW w:type="dxa" w:w="4824"/>
          </w:tcPr>
          <w:p>
            <w:pPr>
              <w:spacing w:before="40" w:after="40"/>
            </w:pPr>
            <w:r>
              <w:rPr>
                <w:b w:val="0"/>
                <w:i w:val="0"/>
                <w:sz w:val="17"/>
              </w:rPr>
              <w:t>$11,640,000 — Stage 2</w:t>
            </w:r>
          </w:p>
        </w:tc>
      </w:tr>
    </w:tbl>
    <w:p/>
    <w:p>
      <w:pPr>
        <w:spacing w:before="280" w:after="80"/>
      </w:pPr>
      <w:r>
        <w:rPr>
          <w:b/>
          <w:i w:val="0"/>
          <w:color w:val="14352A"/>
          <w:sz w:val="28"/>
        </w:rPr>
        <w:t>18. Conditions Issued</w:t>
      </w:r>
    </w:p>
    <w:p>
      <w:pPr>
        <w:spacing w:after="120"/>
      </w:pPr>
      <w:r>
        <w:rPr>
          <w:b w:val="0"/>
          <w:i w:val="0"/>
          <w:sz w:val="20"/>
        </w:rPr>
        <w:t>Four of the five conditions map directly onto criteria that scored 3 — the intended behaviour of the framework, in which every weakness supporting a continuation decision leaves the room with an owner attached to it.</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shd w:val="clear" w:fill="14352A"/>
          </w:tcPr>
          <w:p>
            <w:pPr>
              <w:spacing w:before="40" w:after="40"/>
            </w:pPr>
            <w:r>
              <w:rPr>
                <w:b/>
                <w:i w:val="0"/>
                <w:color w:val="FFFFFF"/>
                <w:sz w:val="17"/>
              </w:rPr>
              <w:t>ID</w:t>
            </w:r>
          </w:p>
        </w:tc>
        <w:tc>
          <w:tcPr>
            <w:tcW w:type="dxa" w:w="1930"/>
            <w:shd w:val="clear" w:fill="14352A"/>
          </w:tcPr>
          <w:p>
            <w:pPr>
              <w:spacing w:before="40" w:after="40"/>
            </w:pPr>
            <w:r>
              <w:rPr>
                <w:b/>
                <w:i w:val="0"/>
                <w:color w:val="FFFFFF"/>
                <w:sz w:val="17"/>
              </w:rPr>
              <w:t>Condition</w:t>
            </w:r>
          </w:p>
        </w:tc>
        <w:tc>
          <w:tcPr>
            <w:tcW w:type="dxa" w:w="1930"/>
            <w:shd w:val="clear" w:fill="14352A"/>
          </w:tcPr>
          <w:p>
            <w:pPr>
              <w:spacing w:before="40" w:after="40"/>
            </w:pPr>
            <w:r>
              <w:rPr>
                <w:b/>
                <w:i w:val="0"/>
                <w:color w:val="FFFFFF"/>
                <w:sz w:val="17"/>
              </w:rPr>
              <w:t>Owner</w:t>
            </w:r>
          </w:p>
        </w:tc>
        <w:tc>
          <w:tcPr>
            <w:tcW w:type="dxa" w:w="1930"/>
            <w:shd w:val="clear" w:fill="14352A"/>
          </w:tcPr>
          <w:p>
            <w:pPr>
              <w:spacing w:before="40" w:after="40"/>
            </w:pPr>
            <w:r>
              <w:rPr>
                <w:b/>
                <w:i w:val="0"/>
                <w:color w:val="FFFFFF"/>
                <w:sz w:val="17"/>
              </w:rPr>
              <w:t>Due</w:t>
            </w:r>
          </w:p>
        </w:tc>
        <w:tc>
          <w:tcPr>
            <w:tcW w:type="dxa" w:w="1930"/>
            <w:shd w:val="clear" w:fill="14352A"/>
          </w:tcPr>
          <w:p>
            <w:pPr>
              <w:spacing w:before="40" w:after="40"/>
            </w:pPr>
            <w:r>
              <w:rPr>
                <w:b/>
                <w:i w:val="0"/>
                <w:color w:val="FFFFFF"/>
                <w:sz w:val="17"/>
              </w:rPr>
              <w:t>Addresses</w:t>
            </w:r>
          </w:p>
        </w:tc>
      </w:tr>
      <w:tr>
        <w:tc>
          <w:tcPr>
            <w:tcW w:type="dxa" w:w="1930"/>
          </w:tcPr>
          <w:p>
            <w:pPr>
              <w:spacing w:before="40" w:after="40"/>
            </w:pPr>
            <w:r>
              <w:rPr>
                <w:b/>
                <w:i w:val="0"/>
                <w:sz w:val="17"/>
              </w:rPr>
              <w:t>GC-01</w:t>
            </w:r>
          </w:p>
        </w:tc>
        <w:tc>
          <w:tcPr>
            <w:tcW w:type="dxa" w:w="1930"/>
          </w:tcPr>
          <w:p>
            <w:pPr>
              <w:spacing w:before="40" w:after="40"/>
            </w:pPr>
            <w:r>
              <w:rPr>
                <w:b w:val="0"/>
                <w:i w:val="0"/>
                <w:sz w:val="17"/>
              </w:rPr>
              <w:t>Reduce launch crediting strategies from five to three</w:t>
            </w:r>
          </w:p>
        </w:tc>
        <w:tc>
          <w:tcPr>
            <w:tcW w:type="dxa" w:w="1930"/>
          </w:tcPr>
          <w:p>
            <w:pPr>
              <w:spacing w:before="40" w:after="40"/>
            </w:pPr>
            <w:r>
              <w:rPr>
                <w:b w:val="0"/>
                <w:i w:val="0"/>
                <w:sz w:val="17"/>
              </w:rPr>
              <w:t>D. Falkner</w:t>
            </w:r>
          </w:p>
        </w:tc>
        <w:tc>
          <w:tcPr>
            <w:tcW w:type="dxa" w:w="1930"/>
          </w:tcPr>
          <w:p>
            <w:pPr>
              <w:spacing w:before="40" w:after="40"/>
            </w:pPr>
            <w:r>
              <w:rPr>
                <w:b w:val="0"/>
                <w:i w:val="0"/>
                <w:sz w:val="17"/>
              </w:rPr>
              <w:t>Closed 21 Jul 2026</w:t>
            </w:r>
          </w:p>
        </w:tc>
        <w:tc>
          <w:tcPr>
            <w:tcW w:type="dxa" w:w="1930"/>
          </w:tcPr>
          <w:p>
            <w:pPr>
              <w:spacing w:before="40" w:after="40"/>
            </w:pPr>
            <w:r>
              <w:rPr>
                <w:b w:val="0"/>
                <w:i w:val="0"/>
                <w:sz w:val="17"/>
              </w:rPr>
              <w:t xml:space="preserve">Feasibility; </w:t>
            </w:r>
            <w:r>
              <w:rPr>
                <w:b/>
                <w:i w:val="0"/>
                <w:sz w:val="17"/>
              </w:rPr>
              <w:t>I-02</w:t>
            </w:r>
          </w:p>
        </w:tc>
      </w:tr>
      <w:tr>
        <w:tc>
          <w:tcPr>
            <w:tcW w:type="dxa" w:w="1930"/>
          </w:tcPr>
          <w:p>
            <w:pPr>
              <w:spacing w:before="40" w:after="40"/>
            </w:pPr>
            <w:r>
              <w:rPr>
                <w:b/>
                <w:i w:val="0"/>
                <w:sz w:val="17"/>
              </w:rPr>
              <w:t>GC-02</w:t>
            </w:r>
          </w:p>
        </w:tc>
        <w:tc>
          <w:tcPr>
            <w:tcW w:type="dxa" w:w="1930"/>
          </w:tcPr>
          <w:p>
            <w:pPr>
              <w:spacing w:before="40" w:after="40"/>
            </w:pPr>
            <w:r>
              <w:rPr>
                <w:b w:val="0"/>
                <w:i w:val="0"/>
                <w:sz w:val="17"/>
              </w:rPr>
              <w:t>Remove New York from launch scope; issue a deferral memorandum</w:t>
            </w:r>
          </w:p>
        </w:tc>
        <w:tc>
          <w:tcPr>
            <w:tcW w:type="dxa" w:w="1930"/>
          </w:tcPr>
          <w:p>
            <w:pPr>
              <w:spacing w:before="40" w:after="40"/>
            </w:pPr>
            <w:r>
              <w:rPr>
                <w:b w:val="0"/>
                <w:i w:val="0"/>
                <w:sz w:val="17"/>
              </w:rPr>
              <w:t>A. Nkemelu</w:t>
            </w:r>
          </w:p>
        </w:tc>
        <w:tc>
          <w:tcPr>
            <w:tcW w:type="dxa" w:w="1930"/>
          </w:tcPr>
          <w:p>
            <w:pPr>
              <w:spacing w:before="40" w:after="40"/>
            </w:pPr>
            <w:r>
              <w:rPr>
                <w:b w:val="0"/>
                <w:i w:val="0"/>
                <w:sz w:val="17"/>
              </w:rPr>
              <w:t>Closed 3 Jul 2026</w:t>
            </w:r>
          </w:p>
        </w:tc>
        <w:tc>
          <w:tcPr>
            <w:tcW w:type="dxa" w:w="1930"/>
          </w:tcPr>
          <w:p>
            <w:pPr>
              <w:spacing w:before="40" w:after="40"/>
            </w:pPr>
            <w:r>
              <w:rPr>
                <w:b w:val="0"/>
                <w:i w:val="0"/>
                <w:sz w:val="17"/>
              </w:rPr>
              <w:t>The abstention at §17</w:t>
            </w:r>
          </w:p>
        </w:tc>
      </w:tr>
      <w:tr>
        <w:tc>
          <w:tcPr>
            <w:tcW w:type="dxa" w:w="1930"/>
          </w:tcPr>
          <w:p>
            <w:pPr>
              <w:spacing w:before="40" w:after="40"/>
            </w:pPr>
            <w:r>
              <w:rPr>
                <w:b/>
                <w:i w:val="0"/>
                <w:sz w:val="17"/>
              </w:rPr>
              <w:t>GC-03</w:t>
            </w:r>
          </w:p>
        </w:tc>
        <w:tc>
          <w:tcPr>
            <w:tcW w:type="dxa" w:w="1930"/>
          </w:tcPr>
          <w:p>
            <w:pPr>
              <w:spacing w:before="40" w:after="40"/>
            </w:pPr>
            <w:r>
              <w:rPr>
                <w:b w:val="0"/>
                <w:i w:val="0"/>
                <w:sz w:val="17"/>
              </w:rPr>
              <w:t>Independent external actuarial peer review of GLWB pricing before Gate 2</w:t>
            </w:r>
          </w:p>
        </w:tc>
        <w:tc>
          <w:tcPr>
            <w:tcW w:type="dxa" w:w="1930"/>
          </w:tcPr>
          <w:p>
            <w:pPr>
              <w:spacing w:before="40" w:after="40"/>
            </w:pPr>
            <w:r>
              <w:rPr>
                <w:b w:val="0"/>
                <w:i w:val="0"/>
                <w:sz w:val="17"/>
              </w:rPr>
              <w:t>S. Ravichandran</w:t>
            </w:r>
          </w:p>
        </w:tc>
        <w:tc>
          <w:tcPr>
            <w:tcW w:type="dxa" w:w="1930"/>
          </w:tcPr>
          <w:p>
            <w:pPr>
              <w:spacing w:before="40" w:after="40"/>
            </w:pPr>
            <w:r>
              <w:rPr>
                <w:b w:val="0"/>
                <w:i w:val="0"/>
                <w:sz w:val="17"/>
              </w:rPr>
              <w:t>26 Feb 2027</w:t>
            </w:r>
          </w:p>
        </w:tc>
        <w:tc>
          <w:tcPr>
            <w:tcW w:type="dxa" w:w="1930"/>
          </w:tcPr>
          <w:p>
            <w:pPr>
              <w:spacing w:before="40" w:after="40"/>
            </w:pPr>
            <w:r>
              <w:rPr>
                <w:b w:val="0"/>
                <w:i w:val="0"/>
                <w:sz w:val="17"/>
              </w:rPr>
              <w:t xml:space="preserve">Return and competitive position; </w:t>
            </w:r>
            <w:r>
              <w:rPr>
                <w:b/>
                <w:i w:val="0"/>
                <w:sz w:val="17"/>
              </w:rPr>
              <w:t>R-06</w:t>
            </w:r>
          </w:p>
        </w:tc>
      </w:tr>
      <w:tr>
        <w:tc>
          <w:tcPr>
            <w:tcW w:type="dxa" w:w="1930"/>
          </w:tcPr>
          <w:p>
            <w:pPr>
              <w:spacing w:before="40" w:after="40"/>
            </w:pPr>
            <w:r>
              <w:rPr>
                <w:b/>
                <w:i w:val="0"/>
                <w:sz w:val="17"/>
              </w:rPr>
              <w:t>GC-04</w:t>
            </w:r>
          </w:p>
        </w:tc>
        <w:tc>
          <w:tcPr>
            <w:tcW w:type="dxa" w:w="1930"/>
          </w:tcPr>
          <w:p>
            <w:pPr>
              <w:spacing w:before="40" w:after="40"/>
            </w:pPr>
            <w:r>
              <w:rPr>
                <w:b w:val="0"/>
                <w:i w:val="0"/>
                <w:sz w:val="17"/>
              </w:rPr>
              <w:t>Re-validate volumes with the three largest IMO partners</w:t>
            </w:r>
          </w:p>
        </w:tc>
        <w:tc>
          <w:tcPr>
            <w:tcW w:type="dxa" w:w="1930"/>
          </w:tcPr>
          <w:p>
            <w:pPr>
              <w:spacing w:before="40" w:after="40"/>
            </w:pPr>
            <w:r>
              <w:rPr>
                <w:b w:val="0"/>
                <w:i w:val="0"/>
                <w:sz w:val="17"/>
              </w:rPr>
              <w:t>R. Castellanos</w:t>
            </w:r>
          </w:p>
        </w:tc>
        <w:tc>
          <w:tcPr>
            <w:tcW w:type="dxa" w:w="1930"/>
          </w:tcPr>
          <w:p>
            <w:pPr>
              <w:spacing w:before="40" w:after="40"/>
            </w:pPr>
            <w:r>
              <w:rPr>
                <w:b w:val="0"/>
                <w:i w:val="0"/>
                <w:sz w:val="17"/>
              </w:rPr>
              <w:t>Closed 14 Aug 2026</w:t>
            </w:r>
          </w:p>
        </w:tc>
        <w:tc>
          <w:tcPr>
            <w:tcW w:type="dxa" w:w="1930"/>
          </w:tcPr>
          <w:p>
            <w:pPr>
              <w:spacing w:before="40" w:after="40"/>
            </w:pPr>
            <w:r>
              <w:rPr>
                <w:b w:val="0"/>
                <w:i w:val="0"/>
                <w:sz w:val="17"/>
              </w:rPr>
              <w:t>Distribution commitment; dissent 1</w:t>
            </w:r>
          </w:p>
        </w:tc>
      </w:tr>
      <w:tr>
        <w:tc>
          <w:tcPr>
            <w:tcW w:type="dxa" w:w="1930"/>
          </w:tcPr>
          <w:p>
            <w:pPr>
              <w:spacing w:before="40" w:after="40"/>
            </w:pPr>
            <w:r>
              <w:rPr>
                <w:b/>
                <w:i w:val="0"/>
                <w:sz w:val="17"/>
              </w:rPr>
              <w:t>GC-05</w:t>
            </w:r>
          </w:p>
        </w:tc>
        <w:tc>
          <w:tcPr>
            <w:tcW w:type="dxa" w:w="1930"/>
          </w:tcPr>
          <w:p>
            <w:pPr>
              <w:spacing w:before="40" w:after="40"/>
            </w:pPr>
            <w:r>
              <w:rPr>
                <w:b w:val="0"/>
                <w:i w:val="0"/>
                <w:sz w:val="17"/>
              </w:rPr>
              <w:t>Hedging readiness plan with ISDA milestones, presented at Gate 2</w:t>
            </w:r>
          </w:p>
        </w:tc>
        <w:tc>
          <w:tcPr>
            <w:tcW w:type="dxa" w:w="1930"/>
          </w:tcPr>
          <w:p>
            <w:pPr>
              <w:spacing w:before="40" w:after="40"/>
            </w:pPr>
            <w:r>
              <w:rPr>
                <w:b w:val="0"/>
                <w:i w:val="0"/>
                <w:sz w:val="17"/>
              </w:rPr>
              <w:t>M. Delacroix</w:t>
            </w:r>
          </w:p>
        </w:tc>
        <w:tc>
          <w:tcPr>
            <w:tcW w:type="dxa" w:w="1930"/>
          </w:tcPr>
          <w:p>
            <w:pPr>
              <w:spacing w:before="40" w:after="40"/>
            </w:pPr>
            <w:r>
              <w:rPr>
                <w:b w:val="0"/>
                <w:i w:val="0"/>
                <w:sz w:val="17"/>
              </w:rPr>
              <w:t>12 Mar 2027</w:t>
            </w:r>
          </w:p>
        </w:tc>
        <w:tc>
          <w:tcPr>
            <w:tcW w:type="dxa" w:w="1930"/>
          </w:tcPr>
          <w:p>
            <w:pPr>
              <w:spacing w:before="40" w:after="40"/>
            </w:pPr>
            <w:r>
              <w:rPr>
                <w:b w:val="0"/>
                <w:i w:val="0"/>
                <w:sz w:val="17"/>
              </w:rPr>
              <w:t xml:space="preserve">Feasibility; </w:t>
            </w:r>
            <w:r>
              <w:rPr>
                <w:b/>
                <w:i w:val="0"/>
                <w:sz w:val="17"/>
              </w:rPr>
              <w:t>R-05</w:t>
            </w:r>
          </w:p>
        </w:tc>
      </w:tr>
    </w:tbl>
    <w:p/>
    <w:p>
      <w:pPr>
        <w:spacing w:after="120"/>
      </w:pPr>
      <w:r>
        <w:rPr>
          <w:b w:val="0"/>
          <w:i w:val="0"/>
          <w:sz w:val="20"/>
        </w:rPr>
        <w:t xml:space="preserve">The reserve draw of $180,000 funding </w:t>
      </w:r>
      <w:r>
        <w:rPr>
          <w:b/>
          <w:i w:val="0"/>
          <w:sz w:val="20"/>
        </w:rPr>
        <w:t>GC-03</w:t>
      </w:r>
      <w:r>
        <w:rPr>
          <w:b w:val="0"/>
          <w:i w:val="0"/>
          <w:sz w:val="20"/>
        </w:rPr>
        <w:t xml:space="preserve"> was authorised by the Board at this gate under Governance Model §15.</w:t>
      </w:r>
    </w:p>
    <w:p>
      <w:pPr>
        <w:spacing w:before="280" w:after="80"/>
      </w:pPr>
      <w:r>
        <w:rPr>
          <w:b/>
          <w:i w:val="0"/>
          <w:color w:val="14352A"/>
          <w:sz w:val="28"/>
        </w:rPr>
        <w:t>19. Document Control</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Version</w:t>
            </w:r>
          </w:p>
        </w:tc>
        <w:tc>
          <w:tcPr>
            <w:tcW w:type="dxa" w:w="3216"/>
            <w:shd w:val="clear" w:fill="14352A"/>
          </w:tcPr>
          <w:p>
            <w:pPr>
              <w:spacing w:before="40" w:after="40"/>
            </w:pPr>
            <w:r>
              <w:rPr>
                <w:b/>
                <w:i w:val="0"/>
                <w:color w:val="FFFFFF"/>
                <w:sz w:val="17"/>
              </w:rPr>
              <w:t>Date</w:t>
            </w:r>
          </w:p>
        </w:tc>
        <w:tc>
          <w:tcPr>
            <w:tcW w:type="dxa" w:w="3216"/>
            <w:shd w:val="clear" w:fill="14352A"/>
          </w:tcPr>
          <w:p>
            <w:pPr>
              <w:spacing w:before="40" w:after="40"/>
            </w:pPr>
            <w:r>
              <w:rPr>
                <w:b/>
                <w:i w:val="0"/>
                <w:color w:val="FFFFFF"/>
                <w:sz w:val="17"/>
              </w:rPr>
              <w:t>Change</w:t>
            </w:r>
          </w:p>
        </w:tc>
      </w:tr>
      <w:tr>
        <w:tc>
          <w:tcPr>
            <w:tcW w:type="dxa" w:w="3216"/>
          </w:tcPr>
          <w:p>
            <w:pPr>
              <w:spacing w:before="40" w:after="40"/>
            </w:pPr>
            <w:r>
              <w:rPr>
                <w:b w:val="0"/>
                <w:i w:val="0"/>
                <w:sz w:val="17"/>
              </w:rPr>
              <w:t>1.0</w:t>
            </w:r>
          </w:p>
        </w:tc>
        <w:tc>
          <w:tcPr>
            <w:tcW w:type="dxa" w:w="3216"/>
          </w:tcPr>
          <w:p>
            <w:pPr>
              <w:spacing w:before="40" w:after="40"/>
            </w:pPr>
            <w:r>
              <w:rPr>
                <w:b w:val="0"/>
                <w:i w:val="0"/>
                <w:sz w:val="17"/>
              </w:rPr>
              <w:t>30 Apr 2026</w:t>
            </w:r>
          </w:p>
        </w:tc>
        <w:tc>
          <w:tcPr>
            <w:tcW w:type="dxa" w:w="3216"/>
          </w:tcPr>
          <w:p>
            <w:pPr>
              <w:spacing w:before="40" w:after="40"/>
            </w:pPr>
            <w:r>
              <w:rPr>
                <w:b w:val="0"/>
                <w:i w:val="0"/>
                <w:sz w:val="17"/>
              </w:rPr>
              <w:t xml:space="preserve">Tabled at the first convening of Gate 1. </w:t>
            </w:r>
            <w:r>
              <w:rPr>
                <w:b/>
                <w:i w:val="0"/>
                <w:sz w:val="17"/>
              </w:rPr>
              <w:t>Recycled</w:t>
            </w:r>
            <w:r>
              <w:rPr>
                <w:b w:val="0"/>
                <w:i w:val="0"/>
                <w:sz w:val="17"/>
              </w:rPr>
              <w:t xml:space="preserve"> — two criteria unscoreable.</w:t>
            </w:r>
          </w:p>
        </w:tc>
      </w:tr>
      <w:tr>
        <w:tc>
          <w:tcPr>
            <w:tcW w:type="dxa" w:w="3216"/>
          </w:tcPr>
          <w:p>
            <w:pPr>
              <w:spacing w:before="40" w:after="40"/>
            </w:pPr>
            <w:r>
              <w:rPr>
                <w:b w:val="0"/>
                <w:i w:val="0"/>
                <w:sz w:val="17"/>
              </w:rPr>
              <w:t>2.0</w:t>
            </w:r>
          </w:p>
        </w:tc>
        <w:tc>
          <w:tcPr>
            <w:tcW w:type="dxa" w:w="3216"/>
          </w:tcPr>
          <w:p>
            <w:pPr>
              <w:spacing w:before="40" w:after="40"/>
            </w:pPr>
            <w:r>
              <w:rPr>
                <w:b w:val="0"/>
                <w:i w:val="0"/>
                <w:sz w:val="17"/>
              </w:rPr>
              <w:t>11 Jun 2026</w:t>
            </w:r>
          </w:p>
        </w:tc>
        <w:tc>
          <w:tcPr>
            <w:tcW w:type="dxa" w:w="3216"/>
          </w:tcPr>
          <w:p>
            <w:pPr>
              <w:spacing w:before="40" w:after="40"/>
            </w:pPr>
            <w:r>
              <w:rPr>
                <w:b w:val="0"/>
                <w:i w:val="0"/>
                <w:sz w:val="17"/>
              </w:rPr>
              <w:t>Retabled. Written channel commitments added (§7); return recomputed on the current capital charge (§9); competitive floor proposed (§6); dissent section added (§16). Carried GO WITH CONDITIONS.</w:t>
            </w:r>
          </w:p>
        </w:tc>
      </w:tr>
    </w:tbl>
    <w:p/>
    <w:p>
      <w:pPr>
        <w:spacing w:after="120"/>
      </w:pPr>
      <w:r>
        <w:rPr>
          <w:b w:val="0"/>
          <w:i w:val="0"/>
          <w:sz w:val="20"/>
        </w:rPr>
        <w:t xml:space="preserve">Prepared by C. Tyrrell, NPD Program Manager and Chair of the Gate Review Board. Related: </w:t>
      </w:r>
      <w:r>
        <w:rPr>
          <w:b w:val="0"/>
          <w:i w:val="0"/>
          <w:sz w:val="20"/>
        </w:rPr>
        <w:t>Stage-Gate Governance Model</w:t>
      </w:r>
      <w:r>
        <w:rPr>
          <w:b w:val="0"/>
          <w:i w:val="0"/>
          <w:sz w:val="20"/>
        </w:rPr>
        <w:t xml:space="preserve"> · </w:t>
      </w:r>
      <w:r>
        <w:rPr>
          <w:b w:val="0"/>
          <w:i w:val="0"/>
          <w:sz w:val="20"/>
        </w:rPr>
        <w:t>Gate Decision Framework</w:t>
      </w:r>
      <w:r>
        <w:rPr>
          <w:b w:val="0"/>
          <w:i w:val="0"/>
          <w:sz w:val="20"/>
        </w:rPr>
        <w:t xml:space="preserve"> · Gate 1 Recycle Memorandum · Gate Conditions Register.</w:t>
      </w:r>
    </w:p>
    <w:p/>
    <w:p>
      <w:pPr>
        <w:jc w:val="left"/>
      </w:pPr>
      <w:r>
        <w:rPr>
          <w:color w:val="5B6472"/>
          <w:sz w:val="15"/>
        </w:rPr>
        <w:t>Lighthouse Financial Services Company — Beacon Index Advantage program. Fictional portfolio artifact produced by C. Tyrrell to</w:t>
        <w:br/>
        <w:t>demonstrate stage-gate new product development governance. No real company, product, person or</w:t>
        <w:br/>
        <w:t>filing is depicted. Figures are internally consistent by design and verified programmatically.</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