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B6472"/>
          <w:sz w:val="18"/>
        </w:rPr>
        <w:t>Lighthouse Financial Services Company</w:t>
      </w:r>
    </w:p>
    <w:p>
      <w:r>
        <w:rPr>
          <w:b/>
          <w:color w:val="14352A"/>
          <w:sz w:val="34"/>
        </w:rPr>
        <w:t>Gate Conditions Register</w:t>
      </w:r>
    </w:p>
    <w:p>
      <w:r>
        <w:rPr>
          <w:color w:val="1E5945"/>
          <w:sz w:val="18"/>
        </w:rPr>
        <w:t>Live Register · Between Gate 1 and Gate 2</w:t>
      </w:r>
    </w:p>
    <w:p/>
    <w:p>
      <w:pPr>
        <w:spacing w:after="120"/>
      </w:pPr>
      <w:r>
        <w:rPr>
          <w:b/>
          <w:i w:val="0"/>
          <w:sz w:val="20"/>
        </w:rPr>
        <w:t>Lighthouse Financial Services Company</w:t>
      </w:r>
      <w:r>
        <w:rPr>
          <w:b w:val="0"/>
          <w:i w:val="0"/>
          <w:sz w:val="20"/>
        </w:rPr>
        <w:t xml:space="preserve"> — The five conditions attached to the </w:t>
      </w:r>
      <w:r>
        <w:rPr>
          <w:b/>
          <w:i w:val="0"/>
          <w:sz w:val="20"/>
        </w:rPr>
        <w:t>GO WITH CONDITIONS</w:t>
      </w:r>
      <w:r>
        <w:rPr>
          <w:b w:val="0"/>
          <w:i w:val="0"/>
          <w:sz w:val="20"/>
        </w:rPr>
        <w:t xml:space="preserve"> decision at Gate 1 on 11 June 2026. This is a live document, maintained by the Chair between gates and tabled at Gate 2 on 01 April 2027. Status as at </w:t>
      </w:r>
      <w:r>
        <w:rPr>
          <w:b/>
          <w:i w:val="0"/>
          <w:sz w:val="20"/>
        </w:rPr>
        <w:t>16 October 2026</w:t>
      </w:r>
      <w:r>
        <w:rPr>
          <w:b w:val="0"/>
          <w:i w:val="0"/>
          <w:sz w:val="20"/>
        </w:rPr>
        <w:t>.</w:t>
      </w:r>
    </w:p>
    <w:p>
      <w:pPr>
        <w:spacing w:after="120"/>
      </w:pPr>
      <w:r>
        <w:rPr>
          <w:b w:val="0"/>
          <w:i w:val="0"/>
          <w:sz w:val="20"/>
        </w:rPr>
        <w:t>3</w:t>
      </w:r>
    </w:p>
    <w:p>
      <w:pPr>
        <w:spacing w:after="120"/>
      </w:pPr>
      <w:r>
        <w:rPr>
          <w:b w:val="0"/>
          <w:i w:val="0"/>
          <w:sz w:val="20"/>
        </w:rPr>
        <w:t>Closed</w:t>
      </w:r>
    </w:p>
    <w:p>
      <w:pPr>
        <w:spacing w:after="120"/>
      </w:pPr>
      <w:r>
        <w:rPr>
          <w:b w:val="0"/>
          <w:i w:val="0"/>
          <w:sz w:val="20"/>
        </w:rPr>
        <w:t>2</w:t>
      </w:r>
    </w:p>
    <w:p>
      <w:pPr>
        <w:spacing w:after="120"/>
      </w:pPr>
      <w:r>
        <w:rPr>
          <w:b w:val="0"/>
          <w:i w:val="0"/>
          <w:sz w:val="20"/>
        </w:rPr>
        <w:t>Open</w:t>
      </w:r>
    </w:p>
    <w:p>
      <w:pPr>
        <w:spacing w:after="120"/>
      </w:pPr>
      <w:r>
        <w:rPr>
          <w:b w:val="0"/>
          <w:i w:val="0"/>
          <w:sz w:val="20"/>
        </w:rPr>
        <w:t>1</w:t>
      </w:r>
    </w:p>
    <w:p>
      <w:pPr>
        <w:spacing w:after="120"/>
      </w:pPr>
      <w:r>
        <w:rPr>
          <w:b w:val="0"/>
          <w:i w:val="0"/>
          <w:sz w:val="20"/>
        </w:rPr>
        <w:t>At risk</w:t>
      </w:r>
    </w:p>
    <w:p>
      <w:pPr>
        <w:spacing w:after="120"/>
      </w:pPr>
      <w:r>
        <w:rPr>
          <w:b w:val="0"/>
          <w:i w:val="0"/>
          <w:sz w:val="20"/>
        </w:rPr>
        <w:t>167</w:t>
      </w:r>
    </w:p>
    <w:p>
      <w:pPr>
        <w:spacing w:after="120"/>
      </w:pPr>
      <w:r>
        <w:rPr>
          <w:b w:val="0"/>
          <w:i w:val="0"/>
          <w:sz w:val="20"/>
        </w:rPr>
        <w:t>Days to Gate 2</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A condition is a binding obligation, not an action item.</w:t>
            </w:r>
            <w:r>
              <w:rPr>
                <w:b w:val="0"/>
                <w:i w:val="0"/>
                <w:sz w:val="20"/>
              </w:rPr>
              <w:t xml:space="preserve"> Each carries a named individual as owner, a due date that precedes the next gate, and a </w:t>
            </w:r>
            <w:r>
              <w:rPr>
                <w:b/>
                <w:i w:val="0"/>
                <w:sz w:val="20"/>
              </w:rPr>
              <w:t>verification method stated at the time of issue</w:t>
            </w:r>
            <w:r>
              <w:rPr>
                <w:b w:val="0"/>
                <w:i w:val="0"/>
                <w:sz w:val="20"/>
              </w:rPr>
              <w:t xml:space="preserve"> rather than negotiated at closure. Nobody closes their own condition: closure is verified by the Chair against the method recorded here. The mechanism is set out in Governance Model §11; this register is the record of its operation. </w:t>
            </w:r>
          </w:p>
        </w:tc>
      </w:tr>
    </w:tbl>
    <w:p/>
    <w:p>
      <w:pPr>
        <w:spacing w:before="280" w:after="80"/>
      </w:pPr>
      <w:r>
        <w:rPr>
          <w:b/>
          <w:i w:val="0"/>
          <w:color w:val="14352A"/>
          <w:sz w:val="28"/>
        </w:rPr>
        <w:t>1. The register at a glance</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fill="14352A"/>
          </w:tcPr>
          <w:p>
            <w:pPr>
              <w:spacing w:before="40" w:after="40"/>
            </w:pPr>
            <w:r>
              <w:rPr>
                <w:b/>
                <w:i w:val="0"/>
                <w:color w:val="FFFFFF"/>
                <w:sz w:val="17"/>
              </w:rPr>
              <w:t>ID</w:t>
            </w:r>
          </w:p>
        </w:tc>
        <w:tc>
          <w:tcPr>
            <w:tcW w:type="dxa" w:w="1930"/>
            <w:shd w:val="clear" w:fill="14352A"/>
          </w:tcPr>
          <w:p>
            <w:pPr>
              <w:spacing w:before="40" w:after="40"/>
            </w:pPr>
            <w:r>
              <w:rPr>
                <w:b/>
                <w:i w:val="0"/>
                <w:color w:val="FFFFFF"/>
                <w:sz w:val="17"/>
              </w:rPr>
              <w:t>Condition</w:t>
            </w:r>
          </w:p>
        </w:tc>
        <w:tc>
          <w:tcPr>
            <w:tcW w:type="dxa" w:w="1930"/>
            <w:shd w:val="clear" w:fill="14352A"/>
          </w:tcPr>
          <w:p>
            <w:pPr>
              <w:spacing w:before="40" w:after="40"/>
            </w:pPr>
            <w:r>
              <w:rPr>
                <w:b/>
                <w:i w:val="0"/>
                <w:color w:val="FFFFFF"/>
                <w:sz w:val="17"/>
              </w:rPr>
              <w:t>Owner</w:t>
            </w:r>
          </w:p>
        </w:tc>
        <w:tc>
          <w:tcPr>
            <w:tcW w:type="dxa" w:w="1930"/>
            <w:shd w:val="clear" w:fill="14352A"/>
          </w:tcPr>
          <w:p>
            <w:pPr>
              <w:spacing w:before="40" w:after="40"/>
            </w:pPr>
            <w:r>
              <w:rPr>
                <w:b/>
                <w:i w:val="0"/>
                <w:color w:val="FFFFFF"/>
                <w:sz w:val="17"/>
              </w:rPr>
              <w:t>Addresses</w:t>
            </w:r>
          </w:p>
        </w:tc>
        <w:tc>
          <w:tcPr>
            <w:tcW w:type="dxa" w:w="1930"/>
            <w:shd w:val="clear" w:fill="14352A"/>
          </w:tcPr>
          <w:p>
            <w:pPr>
              <w:spacing w:before="40" w:after="40"/>
            </w:pPr>
            <w:r>
              <w:rPr>
                <w:b/>
                <w:i w:val="0"/>
                <w:color w:val="FFFFFF"/>
                <w:sz w:val="17"/>
              </w:rPr>
              <w:t>Status</w:t>
            </w:r>
          </w:p>
        </w:tc>
      </w:tr>
      <w:tr>
        <w:tc>
          <w:tcPr>
            <w:tcW w:type="dxa" w:w="1930"/>
          </w:tcPr>
          <w:p>
            <w:pPr>
              <w:spacing w:before="40" w:after="40"/>
            </w:pPr>
            <w:r>
              <w:rPr>
                <w:b/>
                <w:i w:val="0"/>
                <w:sz w:val="17"/>
              </w:rPr>
              <w:t>GC-01</w:t>
            </w:r>
          </w:p>
        </w:tc>
        <w:tc>
          <w:tcPr>
            <w:tcW w:type="dxa" w:w="1930"/>
          </w:tcPr>
          <w:p>
            <w:pPr>
              <w:spacing w:before="40" w:after="40"/>
            </w:pPr>
            <w:r>
              <w:rPr>
                <w:b w:val="0"/>
                <w:i w:val="0"/>
                <w:sz w:val="17"/>
              </w:rPr>
              <w:t>Reduce launch crediting strategies from five to three</w:t>
            </w:r>
          </w:p>
        </w:tc>
        <w:tc>
          <w:tcPr>
            <w:tcW w:type="dxa" w:w="1930"/>
          </w:tcPr>
          <w:p>
            <w:pPr>
              <w:spacing w:before="40" w:after="40"/>
            </w:pPr>
            <w:r>
              <w:rPr>
                <w:b w:val="0"/>
                <w:i w:val="0"/>
                <w:sz w:val="17"/>
              </w:rPr>
              <w:t>D. Falkner</w:t>
            </w:r>
          </w:p>
        </w:tc>
        <w:tc>
          <w:tcPr>
            <w:tcW w:type="dxa" w:w="1930"/>
          </w:tcPr>
          <w:p>
            <w:pPr>
              <w:spacing w:before="40" w:after="40"/>
            </w:pPr>
            <w:r>
              <w:rPr>
                <w:b w:val="0"/>
                <w:i w:val="0"/>
                <w:sz w:val="17"/>
              </w:rPr>
              <w:t>Feasibility (scored 3); I-02 illustration engine limitation</w:t>
            </w:r>
          </w:p>
        </w:tc>
        <w:tc>
          <w:tcPr>
            <w:tcW w:type="dxa" w:w="1930"/>
          </w:tcPr>
          <w:p>
            <w:pPr>
              <w:spacing w:before="40" w:after="40"/>
            </w:pPr>
            <w:r>
              <w:rPr>
                <w:b w:val="0"/>
                <w:i w:val="0"/>
                <w:sz w:val="17"/>
              </w:rPr>
              <w:t>Closed 21 Jul 2026</w:t>
            </w:r>
          </w:p>
        </w:tc>
      </w:tr>
      <w:tr>
        <w:tc>
          <w:tcPr>
            <w:tcW w:type="dxa" w:w="1930"/>
          </w:tcPr>
          <w:p>
            <w:pPr>
              <w:spacing w:before="40" w:after="40"/>
            </w:pPr>
            <w:r>
              <w:rPr>
                <w:b/>
                <w:i w:val="0"/>
                <w:sz w:val="17"/>
              </w:rPr>
              <w:t>GC-02</w:t>
            </w:r>
          </w:p>
        </w:tc>
        <w:tc>
          <w:tcPr>
            <w:tcW w:type="dxa" w:w="1930"/>
          </w:tcPr>
          <w:p>
            <w:pPr>
              <w:spacing w:before="40" w:after="40"/>
            </w:pPr>
            <w:r>
              <w:rPr>
                <w:b w:val="0"/>
                <w:i w:val="0"/>
                <w:sz w:val="17"/>
              </w:rPr>
              <w:t>Remove New York from launch scope and issue a deferral memorandum</w:t>
            </w:r>
          </w:p>
        </w:tc>
        <w:tc>
          <w:tcPr>
            <w:tcW w:type="dxa" w:w="1930"/>
          </w:tcPr>
          <w:p>
            <w:pPr>
              <w:spacing w:before="40" w:after="40"/>
            </w:pPr>
            <w:r>
              <w:rPr>
                <w:b w:val="0"/>
                <w:i w:val="0"/>
                <w:sz w:val="17"/>
              </w:rPr>
              <w:t>A. Nkemelu</w:t>
            </w:r>
          </w:p>
        </w:tc>
        <w:tc>
          <w:tcPr>
            <w:tcW w:type="dxa" w:w="1930"/>
          </w:tcPr>
          <w:p>
            <w:pPr>
              <w:spacing w:before="40" w:after="40"/>
            </w:pPr>
            <w:r>
              <w:rPr>
                <w:b w:val="0"/>
                <w:i w:val="0"/>
                <w:sz w:val="17"/>
              </w:rPr>
              <w:t>The GC/CCO abstention recorded at the gate</w:t>
            </w:r>
          </w:p>
        </w:tc>
        <w:tc>
          <w:tcPr>
            <w:tcW w:type="dxa" w:w="1930"/>
          </w:tcPr>
          <w:p>
            <w:pPr>
              <w:spacing w:before="40" w:after="40"/>
            </w:pPr>
            <w:r>
              <w:rPr>
                <w:b w:val="0"/>
                <w:i w:val="0"/>
                <w:sz w:val="17"/>
              </w:rPr>
              <w:t>Closed 03 Jul 2026</w:t>
            </w:r>
          </w:p>
        </w:tc>
      </w:tr>
      <w:tr>
        <w:tc>
          <w:tcPr>
            <w:tcW w:type="dxa" w:w="1930"/>
          </w:tcPr>
          <w:p>
            <w:pPr>
              <w:spacing w:before="40" w:after="40"/>
            </w:pPr>
            <w:r>
              <w:rPr>
                <w:b/>
                <w:i w:val="0"/>
                <w:sz w:val="17"/>
              </w:rPr>
              <w:t>GC-03</w:t>
            </w:r>
          </w:p>
        </w:tc>
        <w:tc>
          <w:tcPr>
            <w:tcW w:type="dxa" w:w="1930"/>
          </w:tcPr>
          <w:p>
            <w:pPr>
              <w:spacing w:before="40" w:after="40"/>
            </w:pPr>
            <w:r>
              <w:rPr>
                <w:b w:val="0"/>
                <w:i w:val="0"/>
                <w:sz w:val="17"/>
              </w:rPr>
              <w:t>Independent external actuarial peer review of GLWB rider pricing before Gate 2</w:t>
            </w:r>
          </w:p>
        </w:tc>
        <w:tc>
          <w:tcPr>
            <w:tcW w:type="dxa" w:w="1930"/>
          </w:tcPr>
          <w:p>
            <w:pPr>
              <w:spacing w:before="40" w:after="40"/>
            </w:pPr>
            <w:r>
              <w:rPr>
                <w:b w:val="0"/>
                <w:i w:val="0"/>
                <w:sz w:val="17"/>
              </w:rPr>
              <w:t>S. Ravichandran</w:t>
            </w:r>
          </w:p>
        </w:tc>
        <w:tc>
          <w:tcPr>
            <w:tcW w:type="dxa" w:w="1930"/>
          </w:tcPr>
          <w:p>
            <w:pPr>
              <w:spacing w:before="40" w:after="40"/>
            </w:pPr>
            <w:r>
              <w:rPr>
                <w:b w:val="0"/>
                <w:i w:val="0"/>
                <w:sz w:val="17"/>
              </w:rPr>
              <w:t>Competitive position and financial return (both scored 3); R-06</w:t>
            </w:r>
          </w:p>
        </w:tc>
        <w:tc>
          <w:tcPr>
            <w:tcW w:type="dxa" w:w="1930"/>
          </w:tcPr>
          <w:p>
            <w:pPr>
              <w:spacing w:before="40" w:after="40"/>
            </w:pPr>
            <w:r>
              <w:rPr>
                <w:b w:val="0"/>
                <w:i w:val="0"/>
                <w:sz w:val="17"/>
              </w:rPr>
              <w:t>Open · due 26 Feb 2027</w:t>
            </w:r>
          </w:p>
        </w:tc>
      </w:tr>
      <w:tr>
        <w:tc>
          <w:tcPr>
            <w:tcW w:type="dxa" w:w="1930"/>
          </w:tcPr>
          <w:p>
            <w:pPr>
              <w:spacing w:before="40" w:after="40"/>
            </w:pPr>
            <w:r>
              <w:rPr>
                <w:b/>
                <w:i w:val="0"/>
                <w:sz w:val="17"/>
              </w:rPr>
              <w:t>GC-04</w:t>
            </w:r>
          </w:p>
        </w:tc>
        <w:tc>
          <w:tcPr>
            <w:tcW w:type="dxa" w:w="1930"/>
          </w:tcPr>
          <w:p>
            <w:pPr>
              <w:spacing w:before="40" w:after="40"/>
            </w:pPr>
            <w:r>
              <w:rPr>
                <w:b w:val="0"/>
                <w:i w:val="0"/>
                <w:sz w:val="17"/>
              </w:rPr>
              <w:t>Re-validate distribution volume assumptions with the three largest IMO partners</w:t>
            </w:r>
          </w:p>
        </w:tc>
        <w:tc>
          <w:tcPr>
            <w:tcW w:type="dxa" w:w="1930"/>
          </w:tcPr>
          <w:p>
            <w:pPr>
              <w:spacing w:before="40" w:after="40"/>
            </w:pPr>
            <w:r>
              <w:rPr>
                <w:b w:val="0"/>
                <w:i w:val="0"/>
                <w:sz w:val="17"/>
              </w:rPr>
              <w:t>R. Castellanos</w:t>
            </w:r>
          </w:p>
        </w:tc>
        <w:tc>
          <w:tcPr>
            <w:tcW w:type="dxa" w:w="1930"/>
          </w:tcPr>
          <w:p>
            <w:pPr>
              <w:spacing w:before="40" w:after="40"/>
            </w:pPr>
            <w:r>
              <w:rPr>
                <w:b w:val="0"/>
                <w:i w:val="0"/>
                <w:sz w:val="17"/>
              </w:rPr>
              <w:t>Distribution commitment (scored 3); the U rating at the first convening</w:t>
            </w:r>
          </w:p>
        </w:tc>
        <w:tc>
          <w:tcPr>
            <w:tcW w:type="dxa" w:w="1930"/>
          </w:tcPr>
          <w:p>
            <w:pPr>
              <w:spacing w:before="40" w:after="40"/>
            </w:pPr>
            <w:r>
              <w:rPr>
                <w:b w:val="0"/>
                <w:i w:val="0"/>
                <w:sz w:val="17"/>
              </w:rPr>
              <w:t>Closed 14 Aug 2026</w:t>
            </w:r>
          </w:p>
        </w:tc>
      </w:tr>
      <w:tr>
        <w:tc>
          <w:tcPr>
            <w:tcW w:type="dxa" w:w="1930"/>
          </w:tcPr>
          <w:p>
            <w:pPr>
              <w:spacing w:before="40" w:after="40"/>
            </w:pPr>
            <w:r>
              <w:rPr>
                <w:b/>
                <w:i w:val="0"/>
                <w:sz w:val="17"/>
              </w:rPr>
              <w:t>GC-05</w:t>
            </w:r>
          </w:p>
        </w:tc>
        <w:tc>
          <w:tcPr>
            <w:tcW w:type="dxa" w:w="1930"/>
          </w:tcPr>
          <w:p>
            <w:pPr>
              <w:spacing w:before="40" w:after="40"/>
            </w:pPr>
            <w:r>
              <w:rPr>
                <w:b w:val="0"/>
                <w:i w:val="0"/>
                <w:sz w:val="17"/>
              </w:rPr>
              <w:t>Present a hedging readiness plan with ISDA execution milestones at Gate 2</w:t>
            </w:r>
          </w:p>
        </w:tc>
        <w:tc>
          <w:tcPr>
            <w:tcW w:type="dxa" w:w="1930"/>
          </w:tcPr>
          <w:p>
            <w:pPr>
              <w:spacing w:before="40" w:after="40"/>
            </w:pPr>
            <w:r>
              <w:rPr>
                <w:b w:val="0"/>
                <w:i w:val="0"/>
                <w:sz w:val="17"/>
              </w:rPr>
              <w:t>M. Delacroix</w:t>
            </w:r>
          </w:p>
        </w:tc>
        <w:tc>
          <w:tcPr>
            <w:tcW w:type="dxa" w:w="1930"/>
          </w:tcPr>
          <w:p>
            <w:pPr>
              <w:spacing w:before="40" w:after="40"/>
            </w:pPr>
            <w:r>
              <w:rPr>
                <w:b w:val="0"/>
                <w:i w:val="0"/>
                <w:sz w:val="17"/>
              </w:rPr>
              <w:t>Feasibility (scored 3); R-05 hedging readiness lagging launch</w:t>
            </w:r>
          </w:p>
        </w:tc>
        <w:tc>
          <w:tcPr>
            <w:tcW w:type="dxa" w:w="1930"/>
          </w:tcPr>
          <w:p>
            <w:pPr>
              <w:spacing w:before="40" w:after="40"/>
            </w:pPr>
            <w:r>
              <w:rPr>
                <w:b w:val="0"/>
                <w:i w:val="0"/>
                <w:sz w:val="17"/>
              </w:rPr>
              <w:t>At risk · due 12 Mar 2027</w:t>
            </w:r>
          </w:p>
        </w:tc>
      </w:tr>
    </w:tbl>
    <w:p/>
    <w:p>
      <w:pPr>
        <w:spacing w:after="120"/>
      </w:pPr>
      <w:r>
        <w:rPr>
          <w:b w:val="0"/>
          <w:i w:val="0"/>
          <w:sz w:val="20"/>
        </w:rPr>
        <w:t>All five were issued at the same gate and all five fall due before Gate 2 — that is a rule, not a coincidence. A condition that cannot be verified before the next gate has no enforcement point and is a recommendation wearing a condition's clothing.</w:t>
      </w:r>
    </w:p>
    <w:p>
      <w:pPr>
        <w:spacing w:before="280" w:after="80"/>
      </w:pPr>
      <w:r>
        <w:rPr>
          <w:b/>
          <w:i w:val="0"/>
          <w:color w:val="14352A"/>
          <w:sz w:val="28"/>
        </w:rPr>
        <w:t>2. GC-01 — Reduce launch crediting strategies from five to three</w:t>
      </w:r>
    </w:p>
    <w:p>
      <w:pPr>
        <w:spacing w:before="200" w:after="80"/>
      </w:pPr>
      <w:r>
        <w:rPr>
          <w:b/>
          <w:i w:val="0"/>
          <w:color w:val="14352A"/>
          <w:sz w:val="24"/>
        </w:rPr>
        <w:t xml:space="preserve">GC-01 </w:t>
      </w:r>
      <w:r>
        <w:rPr>
          <w:b/>
          <w:i w:val="0"/>
          <w:color w:val="14352A"/>
          <w:sz w:val="24"/>
        </w:rPr>
        <w:t>Closed 21 Jul 2026</w:t>
      </w:r>
    </w:p>
    <w:p>
      <w:pPr>
        <w:spacing w:after="120"/>
      </w:pPr>
      <w:r>
        <w:rPr>
          <w:b w:val="0"/>
          <w:i w:val="0"/>
          <w:sz w:val="20"/>
        </w:rPr>
        <w:t>Owner</w:t>
      </w:r>
    </w:p>
    <w:p>
      <w:pPr>
        <w:spacing w:after="120"/>
      </w:pPr>
      <w:r>
        <w:rPr>
          <w:b w:val="0"/>
          <w:i w:val="0"/>
          <w:sz w:val="20"/>
        </w:rPr>
        <w:t>D. Falkner</w:t>
      </w:r>
    </w:p>
    <w:p>
      <w:pPr>
        <w:spacing w:after="120"/>
      </w:pPr>
      <w:r>
        <w:rPr>
          <w:b w:val="0"/>
          <w:i w:val="0"/>
          <w:sz w:val="20"/>
        </w:rPr>
        <w:t>Issued</w:t>
      </w:r>
    </w:p>
    <w:p>
      <w:pPr>
        <w:spacing w:after="120"/>
      </w:pPr>
      <w:r>
        <w:rPr>
          <w:b w:val="0"/>
          <w:i w:val="0"/>
          <w:sz w:val="20"/>
        </w:rPr>
        <w:t>11 Jun 2026</w:t>
      </w:r>
    </w:p>
    <w:p>
      <w:pPr>
        <w:spacing w:after="120"/>
      </w:pPr>
      <w:r>
        <w:rPr>
          <w:b w:val="0"/>
          <w:i w:val="0"/>
          <w:sz w:val="20"/>
        </w:rPr>
        <w:t>Due</w:t>
      </w:r>
    </w:p>
    <w:p>
      <w:pPr>
        <w:spacing w:after="120"/>
      </w:pPr>
      <w:r>
        <w:rPr>
          <w:b w:val="0"/>
          <w:i w:val="0"/>
          <w:sz w:val="20"/>
        </w:rPr>
        <w:t>31 Jul 2026</w:t>
      </w:r>
    </w:p>
    <w:p>
      <w:pPr>
        <w:spacing w:after="120"/>
      </w:pPr>
      <w:r>
        <w:rPr>
          <w:b w:val="0"/>
          <w:i w:val="0"/>
          <w:sz w:val="20"/>
        </w:rPr>
        <w:t>Closed</w:t>
      </w:r>
    </w:p>
    <w:p>
      <w:pPr>
        <w:spacing w:after="120"/>
      </w:pPr>
      <w:r>
        <w:rPr>
          <w:b w:val="0"/>
          <w:i w:val="0"/>
          <w:sz w:val="20"/>
        </w:rPr>
        <w:t>21 Jul 2026</w:t>
      </w:r>
    </w:p>
    <w:p>
      <w:pPr>
        <w:spacing w:before="200" w:after="80"/>
      </w:pPr>
      <w:r>
        <w:rPr>
          <w:b/>
          <w:i w:val="0"/>
          <w:color w:val="1B2130"/>
          <w:sz w:val="21"/>
        </w:rPr>
        <w:t>Condition as issued</w:t>
      </w:r>
    </w:p>
    <w:p>
      <w:pPr>
        <w:spacing w:after="120"/>
      </w:pPr>
      <w:r>
        <w:rPr>
          <w:b w:val="0"/>
          <w:i w:val="0"/>
          <w:sz w:val="20"/>
        </w:rPr>
        <w:t>Reduce the launch crediting strategy set from five to three, and confirm the reduced set with Actuarial before Stage 2 development of the illustration configuration begins.</w:t>
      </w:r>
    </w:p>
    <w:p>
      <w:pPr>
        <w:spacing w:before="200" w:after="80"/>
      </w:pPr>
      <w:r>
        <w:rPr>
          <w:b/>
          <w:i w:val="0"/>
          <w:color w:val="1B2130"/>
          <w:sz w:val="21"/>
        </w:rPr>
        <w:t>Why it was issued</w:t>
      </w:r>
    </w:p>
    <w:p>
      <w:pPr>
        <w:spacing w:after="120"/>
      </w:pPr>
      <w:r>
        <w:rPr>
          <w:b w:val="0"/>
          <w:i w:val="0"/>
          <w:sz w:val="20"/>
        </w:rPr>
        <w:t xml:space="preserve">Feasibility scored 3. Issue </w:t>
      </w:r>
      <w:r>
        <w:rPr>
          <w:b/>
          <w:i w:val="0"/>
          <w:sz w:val="20"/>
        </w:rPr>
        <w:t>I-02</w:t>
      </w:r>
      <w:r>
        <w:rPr>
          <w:b w:val="0"/>
          <w:i w:val="0"/>
          <w:sz w:val="20"/>
        </w:rPr>
        <w:t xml:space="preserve"> had established that the incumbent illustration engine cannot produce compliant hypothetical performance for two of the five proposed structures, and building that capability was not justified by their forecast contribution.</w:t>
      </w:r>
    </w:p>
    <w:p>
      <w:pPr>
        <w:spacing w:before="200" w:after="80"/>
      </w:pPr>
      <w:r>
        <w:rPr>
          <w:b/>
          <w:i w:val="0"/>
          <w:color w:val="1B2130"/>
          <w:sz w:val="21"/>
        </w:rPr>
        <w:t>Verification method (as recorded at issue)</w:t>
      </w:r>
    </w:p>
    <w:p>
      <w:pPr>
        <w:spacing w:after="120"/>
      </w:pPr>
      <w:r>
        <w:rPr>
          <w:b w:val="0"/>
          <w:i w:val="0"/>
          <w:sz w:val="20"/>
        </w:rPr>
        <w:t>Revised product specification accepted in writing by Actuarial.</w:t>
      </w:r>
    </w:p>
    <w:p>
      <w:pPr>
        <w:spacing w:before="200" w:after="80"/>
      </w:pPr>
      <w:r>
        <w:rPr>
          <w:b/>
          <w:i w:val="0"/>
          <w:color w:val="1B2130"/>
          <w:sz w:val="21"/>
        </w:rPr>
        <w:t>Evidence and closure</w:t>
      </w:r>
    </w:p>
    <w:p>
      <w:pPr>
        <w:spacing w:after="120"/>
      </w:pPr>
      <w:r>
        <w:rPr>
          <w:b w:val="0"/>
          <w:i w:val="0"/>
          <w:sz w:val="20"/>
        </w:rPr>
        <w:t xml:space="preserve">Revised specification issued and accepted; the launch set is the fixed account, a one-year point-to-point on the Calder Balanced 5 Index with a cap, and a one-year performance-triggered strategy. Recorded as decision </w:t>
      </w:r>
      <w:r>
        <w:rPr>
          <w:b/>
          <w:i w:val="0"/>
          <w:sz w:val="20"/>
        </w:rPr>
        <w:t>D-03</w:t>
      </w:r>
      <w:r>
        <w:rPr>
          <w:b w:val="0"/>
          <w:i w:val="0"/>
          <w:sz w:val="20"/>
        </w:rPr>
        <w:t>.</w:t>
      </w:r>
    </w:p>
    <w:p>
      <w:pPr>
        <w:spacing w:before="200" w:after="80"/>
      </w:pPr>
      <w:r>
        <w:rPr>
          <w:b/>
          <w:i w:val="0"/>
          <w:color w:val="1B2130"/>
          <w:sz w:val="21"/>
        </w:rPr>
        <w:t>Post-closure efficacy</w:t>
      </w:r>
    </w:p>
    <w:p>
      <w:pPr>
        <w:spacing w:after="120"/>
      </w:pPr>
      <w:r>
        <w:rPr>
          <w:b/>
          <w:i w:val="0"/>
          <w:sz w:val="20"/>
        </w:rPr>
        <w:t>Effective.</w:t>
      </w:r>
      <w:r>
        <w:rPr>
          <w:b w:val="0"/>
          <w:i w:val="0"/>
          <w:sz w:val="20"/>
        </w:rPr>
        <w:t xml:space="preserve"> The condition removed a dependency rather than deferring it — the two strategies are out of scope, not postponed, and their build allocation returned to the reserve. It also created a second-order consequence the Board was told about: concentration risk in the remaining indexed strategy, raised as dissent at Gate 1 and carried as risk </w:t>
      </w:r>
      <w:r>
        <w:rPr>
          <w:b/>
          <w:i w:val="0"/>
          <w:sz w:val="20"/>
        </w:rPr>
        <w:t>R-12</w:t>
      </w:r>
      <w:r>
        <w:rPr>
          <w:b w:val="0"/>
          <w:i w:val="0"/>
          <w:sz w:val="20"/>
        </w:rPr>
        <w:t>.</w:t>
      </w:r>
    </w:p>
    <w:p>
      <w:pPr>
        <w:spacing w:before="280" w:after="80"/>
      </w:pPr>
      <w:r>
        <w:rPr>
          <w:b/>
          <w:i w:val="0"/>
          <w:color w:val="14352A"/>
          <w:sz w:val="28"/>
        </w:rPr>
        <w:t>3. GC-02 — Remove New York from launch scope</w:t>
      </w:r>
    </w:p>
    <w:p>
      <w:pPr>
        <w:spacing w:before="200" w:after="80"/>
      </w:pPr>
      <w:r>
        <w:rPr>
          <w:b/>
          <w:i w:val="0"/>
          <w:color w:val="14352A"/>
          <w:sz w:val="24"/>
        </w:rPr>
        <w:t xml:space="preserve">GC-02 </w:t>
      </w:r>
      <w:r>
        <w:rPr>
          <w:b/>
          <w:i w:val="0"/>
          <w:color w:val="14352A"/>
          <w:sz w:val="24"/>
        </w:rPr>
        <w:t>Closed 03 Jul 2026</w:t>
      </w:r>
    </w:p>
    <w:p>
      <w:pPr>
        <w:spacing w:after="120"/>
      </w:pPr>
      <w:r>
        <w:rPr>
          <w:b w:val="0"/>
          <w:i w:val="0"/>
          <w:sz w:val="20"/>
        </w:rPr>
        <w:t>Owner</w:t>
      </w:r>
    </w:p>
    <w:p>
      <w:pPr>
        <w:spacing w:after="120"/>
      </w:pPr>
      <w:r>
        <w:rPr>
          <w:b w:val="0"/>
          <w:i w:val="0"/>
          <w:sz w:val="20"/>
        </w:rPr>
        <w:t>A. Nkemelu</w:t>
      </w:r>
    </w:p>
    <w:p>
      <w:pPr>
        <w:spacing w:after="120"/>
      </w:pPr>
      <w:r>
        <w:rPr>
          <w:b w:val="0"/>
          <w:i w:val="0"/>
          <w:sz w:val="20"/>
        </w:rPr>
        <w:t>Issued</w:t>
      </w:r>
    </w:p>
    <w:p>
      <w:pPr>
        <w:spacing w:after="120"/>
      </w:pPr>
      <w:r>
        <w:rPr>
          <w:b w:val="0"/>
          <w:i w:val="0"/>
          <w:sz w:val="20"/>
        </w:rPr>
        <w:t>11 Jun 2026</w:t>
      </w:r>
    </w:p>
    <w:p>
      <w:pPr>
        <w:spacing w:after="120"/>
      </w:pPr>
      <w:r>
        <w:rPr>
          <w:b w:val="0"/>
          <w:i w:val="0"/>
          <w:sz w:val="20"/>
        </w:rPr>
        <w:t>Due</w:t>
      </w:r>
    </w:p>
    <w:p>
      <w:pPr>
        <w:spacing w:after="120"/>
      </w:pPr>
      <w:r>
        <w:rPr>
          <w:b w:val="0"/>
          <w:i w:val="0"/>
          <w:sz w:val="20"/>
        </w:rPr>
        <w:t>31 Jul 2026</w:t>
      </w:r>
    </w:p>
    <w:p>
      <w:pPr>
        <w:spacing w:after="120"/>
      </w:pPr>
      <w:r>
        <w:rPr>
          <w:b w:val="0"/>
          <w:i w:val="0"/>
          <w:sz w:val="20"/>
        </w:rPr>
        <w:t>Closed</w:t>
      </w:r>
    </w:p>
    <w:p>
      <w:pPr>
        <w:spacing w:after="120"/>
      </w:pPr>
      <w:r>
        <w:rPr>
          <w:b w:val="0"/>
          <w:i w:val="0"/>
          <w:sz w:val="20"/>
        </w:rPr>
        <w:t>03 Jul 2026</w:t>
      </w:r>
    </w:p>
    <w:p>
      <w:pPr>
        <w:spacing w:before="200" w:after="80"/>
      </w:pPr>
      <w:r>
        <w:rPr>
          <w:b/>
          <w:i w:val="0"/>
          <w:color w:val="1B2130"/>
          <w:sz w:val="21"/>
        </w:rPr>
        <w:t>Condition as issued</w:t>
      </w:r>
    </w:p>
    <w:p>
      <w:pPr>
        <w:spacing w:after="120"/>
      </w:pPr>
      <w:r>
        <w:rPr>
          <w:b w:val="0"/>
          <w:i w:val="0"/>
          <w:sz w:val="20"/>
        </w:rPr>
        <w:t>Remove New York from launch scope and issue a deferral memorandum recording the basis for the exclusion and the conditions under which it would be revisited.</w:t>
      </w:r>
    </w:p>
    <w:p>
      <w:pPr>
        <w:spacing w:before="200" w:after="80"/>
      </w:pPr>
      <w:r>
        <w:rPr>
          <w:b/>
          <w:i w:val="0"/>
          <w:color w:val="1B2130"/>
          <w:sz w:val="21"/>
        </w:rPr>
        <w:t>Why it was issued</w:t>
      </w:r>
    </w:p>
    <w:p>
      <w:pPr>
        <w:spacing w:after="120"/>
      </w:pPr>
      <w:r>
        <w:rPr>
          <w:b w:val="0"/>
          <w:i w:val="0"/>
          <w:sz w:val="20"/>
        </w:rPr>
        <w:t>The General Counsel &amp; Chief Compliance Officer abstained at the gate pending this memorandum. New York is not a Compact member and imposes distinct product and conduct requirements; carrying it inside a first launch would have added a workstream the business case did not fund.</w:t>
      </w:r>
    </w:p>
    <w:p>
      <w:pPr>
        <w:spacing w:before="200" w:after="80"/>
      </w:pPr>
      <w:r>
        <w:rPr>
          <w:b/>
          <w:i w:val="0"/>
          <w:color w:val="1B2130"/>
          <w:sz w:val="21"/>
        </w:rPr>
        <w:t>Verification method (as recorded at issue)</w:t>
      </w:r>
    </w:p>
    <w:p>
      <w:pPr>
        <w:spacing w:after="120"/>
      </w:pPr>
      <w:r>
        <w:rPr>
          <w:b w:val="0"/>
          <w:i w:val="0"/>
          <w:sz w:val="20"/>
        </w:rPr>
        <w:t>Memorandum filed with Legal; the program scope statement updated to match.</w:t>
      </w:r>
    </w:p>
    <w:p>
      <w:pPr>
        <w:spacing w:before="200" w:after="80"/>
      </w:pPr>
      <w:r>
        <w:rPr>
          <w:b/>
          <w:i w:val="0"/>
          <w:color w:val="1B2130"/>
          <w:sz w:val="21"/>
        </w:rPr>
        <w:t>Evidence and closure</w:t>
      </w:r>
    </w:p>
    <w:p>
      <w:pPr>
        <w:spacing w:after="120"/>
      </w:pPr>
      <w:r>
        <w:rPr>
          <w:b w:val="0"/>
          <w:i w:val="0"/>
          <w:sz w:val="20"/>
        </w:rPr>
        <w:t xml:space="preserve">Memorandum filed and scope statement updated. Recorded as assumption </w:t>
      </w:r>
      <w:r>
        <w:rPr>
          <w:b/>
          <w:i w:val="0"/>
          <w:sz w:val="20"/>
        </w:rPr>
        <w:t>A-03</w:t>
      </w:r>
      <w:r>
        <w:rPr>
          <w:b w:val="0"/>
          <w:i w:val="0"/>
          <w:sz w:val="20"/>
        </w:rPr>
        <w:t xml:space="preserve"> and decision </w:t>
      </w:r>
      <w:r>
        <w:rPr>
          <w:b/>
          <w:i w:val="0"/>
          <w:sz w:val="20"/>
        </w:rPr>
        <w:t>D-02</w:t>
      </w:r>
      <w:r>
        <w:rPr>
          <w:b w:val="0"/>
          <w:i w:val="0"/>
          <w:sz w:val="20"/>
        </w:rPr>
        <w:t>. Closed fastest of the five, and the abstention was resolved by its closure.</w:t>
      </w:r>
    </w:p>
    <w:p>
      <w:pPr>
        <w:spacing w:before="200" w:after="80"/>
      </w:pPr>
      <w:r>
        <w:rPr>
          <w:b/>
          <w:i w:val="0"/>
          <w:color w:val="1B2130"/>
          <w:sz w:val="21"/>
        </w:rPr>
        <w:t>Post-closure efficacy</w:t>
      </w:r>
    </w:p>
    <w:p>
      <w:pPr>
        <w:spacing w:after="120"/>
      </w:pPr>
      <w:r>
        <w:rPr>
          <w:b/>
          <w:i w:val="0"/>
          <w:sz w:val="20"/>
        </w:rPr>
        <w:t>Effective.</w:t>
      </w:r>
      <w:r>
        <w:rPr>
          <w:b w:val="0"/>
          <w:i w:val="0"/>
          <w:sz w:val="20"/>
        </w:rPr>
        <w:t xml:space="preserve"> The exclusion is now load-bearing rather than assumed: the filing plan, distribution footprint and Stage 4 training scope all derive from it. The deferral memorandum also means a future New York decision starts from a recorded rationale rather than from an argument about what was originally intended.</w:t>
      </w:r>
    </w:p>
    <w:p>
      <w:pPr>
        <w:spacing w:before="280" w:after="80"/>
      </w:pPr>
      <w:r>
        <w:rPr>
          <w:b/>
          <w:i w:val="0"/>
          <w:color w:val="14352A"/>
          <w:sz w:val="28"/>
        </w:rPr>
        <w:t>4. GC-03 — Independent external actuarial peer review</w:t>
      </w:r>
    </w:p>
    <w:p>
      <w:pPr>
        <w:spacing w:before="200" w:after="80"/>
      </w:pPr>
      <w:r>
        <w:rPr>
          <w:b/>
          <w:i w:val="0"/>
          <w:color w:val="14352A"/>
          <w:sz w:val="24"/>
        </w:rPr>
        <w:t xml:space="preserve">GC-03 </w:t>
      </w:r>
      <w:r>
        <w:rPr>
          <w:b/>
          <w:i w:val="0"/>
          <w:color w:val="14352A"/>
          <w:sz w:val="24"/>
        </w:rPr>
        <w:t>Open · due 26 Feb 2027</w:t>
      </w:r>
    </w:p>
    <w:p>
      <w:pPr>
        <w:spacing w:after="120"/>
      </w:pPr>
      <w:r>
        <w:rPr>
          <w:b w:val="0"/>
          <w:i w:val="0"/>
          <w:sz w:val="20"/>
        </w:rPr>
        <w:t>Owner</w:t>
      </w:r>
    </w:p>
    <w:p>
      <w:pPr>
        <w:spacing w:after="120"/>
      </w:pPr>
      <w:r>
        <w:rPr>
          <w:b w:val="0"/>
          <w:i w:val="0"/>
          <w:sz w:val="20"/>
        </w:rPr>
        <w:t>S. Ravichandran</w:t>
      </w:r>
    </w:p>
    <w:p>
      <w:pPr>
        <w:spacing w:after="120"/>
      </w:pPr>
      <w:r>
        <w:rPr>
          <w:b w:val="0"/>
          <w:i w:val="0"/>
          <w:sz w:val="20"/>
        </w:rPr>
        <w:t>Issued</w:t>
      </w:r>
    </w:p>
    <w:p>
      <w:pPr>
        <w:spacing w:after="120"/>
      </w:pPr>
      <w:r>
        <w:rPr>
          <w:b w:val="0"/>
          <w:i w:val="0"/>
          <w:sz w:val="20"/>
        </w:rPr>
        <w:t>11 Jun 2026</w:t>
      </w:r>
    </w:p>
    <w:p>
      <w:pPr>
        <w:spacing w:after="120"/>
      </w:pPr>
      <w:r>
        <w:rPr>
          <w:b w:val="0"/>
          <w:i w:val="0"/>
          <w:sz w:val="20"/>
        </w:rPr>
        <w:t>Due</w:t>
      </w:r>
    </w:p>
    <w:p>
      <w:pPr>
        <w:spacing w:after="120"/>
      </w:pPr>
      <w:r>
        <w:rPr>
          <w:b w:val="0"/>
          <w:i w:val="0"/>
          <w:sz w:val="20"/>
        </w:rPr>
        <w:t>26 Feb 2027</w:t>
      </w:r>
    </w:p>
    <w:p>
      <w:pPr>
        <w:spacing w:after="120"/>
      </w:pPr>
      <w:r>
        <w:rPr>
          <w:b w:val="0"/>
          <w:i w:val="0"/>
          <w:sz w:val="20"/>
        </w:rPr>
        <w:t>Reserve draw</w:t>
      </w:r>
    </w:p>
    <w:p>
      <w:pPr>
        <w:spacing w:after="120"/>
      </w:pPr>
      <w:r>
        <w:rPr>
          <w:b w:val="0"/>
          <w:i w:val="0"/>
          <w:sz w:val="20"/>
        </w:rPr>
        <w:t>$180,000</w:t>
      </w:r>
    </w:p>
    <w:p>
      <w:pPr>
        <w:spacing w:before="200" w:after="80"/>
      </w:pPr>
      <w:r>
        <w:rPr>
          <w:b/>
          <w:i w:val="0"/>
          <w:color w:val="1B2130"/>
          <w:sz w:val="21"/>
        </w:rPr>
        <w:t>Condition as issued</w:t>
      </w:r>
    </w:p>
    <w:p>
      <w:pPr>
        <w:spacing w:after="120"/>
      </w:pPr>
      <w:r>
        <w:rPr>
          <w:b w:val="0"/>
          <w:i w:val="0"/>
          <w:sz w:val="20"/>
        </w:rPr>
        <w:t>Commission an independent external actuarial peer review of the guaranteed lifetime withdrawal benefit pricing basis, and table the signed opinion at Gate 2.</w:t>
      </w:r>
    </w:p>
    <w:p>
      <w:pPr>
        <w:spacing w:before="200" w:after="80"/>
      </w:pPr>
      <w:r>
        <w:rPr>
          <w:b/>
          <w:i w:val="0"/>
          <w:color w:val="1B2130"/>
          <w:sz w:val="21"/>
        </w:rPr>
        <w:t>Why it was issued</w:t>
      </w:r>
    </w:p>
    <w:p>
      <w:pPr>
        <w:spacing w:after="120"/>
      </w:pPr>
      <w:r>
        <w:rPr>
          <w:b w:val="0"/>
          <w:i w:val="0"/>
          <w:sz w:val="20"/>
        </w:rPr>
        <w:t xml:space="preserve">Competitive position and financial return both scored 3, and the return had already moved 120 basis points between the two convenings of Gate 1. The rider is the source of the guarantee exposure and of most of the product's fee income, and its pricing rests on behavioural assumptions the carrier has modelled rather than observed. Risk </w:t>
      </w:r>
      <w:r>
        <w:rPr>
          <w:b/>
          <w:i w:val="0"/>
          <w:sz w:val="20"/>
        </w:rPr>
        <w:t>R-06</w:t>
      </w:r>
      <w:r>
        <w:rPr>
          <w:b w:val="0"/>
          <w:i w:val="0"/>
          <w:sz w:val="20"/>
        </w:rPr>
        <w:t>.</w:t>
      </w:r>
    </w:p>
    <w:p>
      <w:pPr>
        <w:spacing w:before="200" w:after="80"/>
      </w:pPr>
      <w:r>
        <w:rPr>
          <w:b/>
          <w:i w:val="0"/>
          <w:color w:val="1B2130"/>
          <w:sz w:val="21"/>
        </w:rPr>
        <w:t>Verification method (as recorded at issue)</w:t>
      </w:r>
    </w:p>
    <w:p>
      <w:pPr>
        <w:spacing w:after="120"/>
      </w:pPr>
      <w:r>
        <w:rPr>
          <w:b w:val="0"/>
          <w:i w:val="0"/>
          <w:sz w:val="20"/>
        </w:rPr>
        <w:t>A signed external opinion, with its assumptions stated, tabled at Gate 2. An opinion in preparation does not satisfy the evidence standard.</w:t>
      </w:r>
    </w:p>
    <w:p>
      <w:pPr>
        <w:spacing w:before="200" w:after="80"/>
      </w:pPr>
      <w:r>
        <w:rPr>
          <w:b/>
          <w:i w:val="0"/>
          <w:color w:val="1B2130"/>
          <w:sz w:val="21"/>
        </w:rPr>
        <w:t>Status at 16 October 2026</w:t>
      </w:r>
    </w:p>
    <w:p>
      <w:pPr>
        <w:spacing w:after="120"/>
      </w:pPr>
      <w:r>
        <w:rPr>
          <w:b/>
          <w:i w:val="0"/>
          <w:sz w:val="20"/>
        </w:rPr>
        <w:t>On track.</w:t>
      </w:r>
      <w:r>
        <w:rPr>
          <w:b w:val="0"/>
          <w:i w:val="0"/>
          <w:sz w:val="20"/>
        </w:rPr>
        <w:t xml:space="preserve"> Ardmore Actuarial Partners engaged; engagement letter executed and the reserve draw of $180,000 authorised at Gate 1. Data room populated with the pricing basis, assumption documentation and experience data. Fieldwork begins in November, reporting ahead of the 26 February 2027 due date with margin before Gate 2.</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The Chief Actuary abstains at Gate 2 on the verification of this condition.</w:t>
            </w:r>
            <w:r>
              <w:rPr>
                <w:b w:val="0"/>
                <w:i w:val="0"/>
                <w:sz w:val="20"/>
              </w:rPr>
              <w:t xml:space="preserve"> Under Governance Model §6.3 a voting member who owns an open condition abstains from the vote at which it is verified. The chain behind GC-03 runs to N. Adeyemi, so the abstention applies. Quorum is unaffected — four of five voting seats remain, and the GC/CCO seat, the other mandatory attendee, is not implicated. </w:t>
            </w:r>
          </w:p>
        </w:tc>
      </w:tr>
    </w:tbl>
    <w:p/>
    <w:p>
      <w:pPr>
        <w:spacing w:before="280" w:after="80"/>
      </w:pPr>
      <w:r>
        <w:rPr>
          <w:b/>
          <w:i w:val="0"/>
          <w:color w:val="14352A"/>
          <w:sz w:val="28"/>
        </w:rPr>
        <w:t>5. GC-04 — Re-validate distribution volumes</w:t>
      </w:r>
    </w:p>
    <w:p>
      <w:pPr>
        <w:spacing w:before="200" w:after="80"/>
      </w:pPr>
      <w:r>
        <w:rPr>
          <w:b/>
          <w:i w:val="0"/>
          <w:color w:val="14352A"/>
          <w:sz w:val="24"/>
        </w:rPr>
        <w:t xml:space="preserve">GC-04 </w:t>
      </w:r>
      <w:r>
        <w:rPr>
          <w:b/>
          <w:i w:val="0"/>
          <w:color w:val="14352A"/>
          <w:sz w:val="24"/>
        </w:rPr>
        <w:t>Closed 14 Aug 2026</w:t>
      </w:r>
    </w:p>
    <w:p>
      <w:pPr>
        <w:spacing w:after="120"/>
      </w:pPr>
      <w:r>
        <w:rPr>
          <w:b w:val="0"/>
          <w:i w:val="0"/>
          <w:sz w:val="20"/>
        </w:rPr>
        <w:t>Owner</w:t>
      </w:r>
    </w:p>
    <w:p>
      <w:pPr>
        <w:spacing w:after="120"/>
      </w:pPr>
      <w:r>
        <w:rPr>
          <w:b w:val="0"/>
          <w:i w:val="0"/>
          <w:sz w:val="20"/>
        </w:rPr>
        <w:t>R. Castellanos</w:t>
      </w:r>
    </w:p>
    <w:p>
      <w:pPr>
        <w:spacing w:after="120"/>
      </w:pPr>
      <w:r>
        <w:rPr>
          <w:b w:val="0"/>
          <w:i w:val="0"/>
          <w:sz w:val="20"/>
        </w:rPr>
        <w:t>Issued</w:t>
      </w:r>
    </w:p>
    <w:p>
      <w:pPr>
        <w:spacing w:after="120"/>
      </w:pPr>
      <w:r>
        <w:rPr>
          <w:b w:val="0"/>
          <w:i w:val="0"/>
          <w:sz w:val="20"/>
        </w:rPr>
        <w:t>11 Jun 2026</w:t>
      </w:r>
    </w:p>
    <w:p>
      <w:pPr>
        <w:spacing w:after="120"/>
      </w:pPr>
      <w:r>
        <w:rPr>
          <w:b w:val="0"/>
          <w:i w:val="0"/>
          <w:sz w:val="20"/>
        </w:rPr>
        <w:t>Due</w:t>
      </w:r>
    </w:p>
    <w:p>
      <w:pPr>
        <w:spacing w:after="120"/>
      </w:pPr>
      <w:r>
        <w:rPr>
          <w:b w:val="0"/>
          <w:i w:val="0"/>
          <w:sz w:val="20"/>
        </w:rPr>
        <w:t>31 Aug 2026</w:t>
      </w:r>
    </w:p>
    <w:p>
      <w:pPr>
        <w:spacing w:after="120"/>
      </w:pPr>
      <w:r>
        <w:rPr>
          <w:b w:val="0"/>
          <w:i w:val="0"/>
          <w:sz w:val="20"/>
        </w:rPr>
        <w:t>Closed</w:t>
      </w:r>
    </w:p>
    <w:p>
      <w:pPr>
        <w:spacing w:after="120"/>
      </w:pPr>
      <w:r>
        <w:rPr>
          <w:b w:val="0"/>
          <w:i w:val="0"/>
          <w:sz w:val="20"/>
        </w:rPr>
        <w:t>14 Aug 2026</w:t>
      </w:r>
    </w:p>
    <w:p>
      <w:pPr>
        <w:spacing w:before="200" w:after="80"/>
      </w:pPr>
      <w:r>
        <w:rPr>
          <w:b/>
          <w:i w:val="0"/>
          <w:color w:val="1B2130"/>
          <w:sz w:val="21"/>
        </w:rPr>
        <w:t>Condition as issued</w:t>
      </w:r>
    </w:p>
    <w:p>
      <w:pPr>
        <w:spacing w:after="120"/>
      </w:pPr>
      <w:r>
        <w:rPr>
          <w:b w:val="0"/>
          <w:i w:val="0"/>
          <w:sz w:val="20"/>
        </w:rPr>
        <w:t>Re-validate the Year 1 volume assumption with the three largest IMO partners and obtain written indications of intended production.</w:t>
      </w:r>
    </w:p>
    <w:p>
      <w:pPr>
        <w:spacing w:before="200" w:after="80"/>
      </w:pPr>
      <w:r>
        <w:rPr>
          <w:b/>
          <w:i w:val="0"/>
          <w:color w:val="1B2130"/>
          <w:sz w:val="21"/>
        </w:rPr>
        <w:t>Why it was issued</w:t>
      </w:r>
    </w:p>
    <w:p>
      <w:pPr>
        <w:spacing w:after="120"/>
      </w:pPr>
      <w:r>
        <w:rPr>
          <w:b w:val="0"/>
          <w:i w:val="0"/>
          <w:sz w:val="20"/>
        </w:rPr>
        <w:t xml:space="preserve">This is the condition that carries the first convening forward. Distribution commitment was rated </w:t>
      </w:r>
      <w:r>
        <w:rPr>
          <w:b/>
          <w:i w:val="0"/>
          <w:sz w:val="20"/>
        </w:rPr>
        <w:t>U</w:t>
      </w:r>
      <w:r>
        <w:rPr>
          <w:b w:val="0"/>
          <w:i w:val="0"/>
          <w:sz w:val="20"/>
        </w:rPr>
        <w:t xml:space="preserve"> on 30 April 2026 because the forecast rested on internal modelling with no written partner evidence — the finding that produced the recycle.</w:t>
      </w:r>
    </w:p>
    <w:p>
      <w:pPr>
        <w:spacing w:before="200" w:after="80"/>
      </w:pPr>
      <w:r>
        <w:rPr>
          <w:b/>
          <w:i w:val="0"/>
          <w:color w:val="1B2130"/>
          <w:sz w:val="21"/>
        </w:rPr>
        <w:t>Verification method (as recorded at issue)</w:t>
      </w:r>
    </w:p>
    <w:p>
      <w:pPr>
        <w:spacing w:after="120"/>
      </w:pPr>
      <w:r>
        <w:rPr>
          <w:b w:val="0"/>
          <w:i w:val="0"/>
          <w:sz w:val="20"/>
        </w:rPr>
        <w:t>Written indications from three named partners, with the aggregate stated against the Year 1 target and any shortfall disclosed rather than closed by assumption.</w:t>
      </w:r>
    </w:p>
    <w:p>
      <w:pPr>
        <w:spacing w:before="200" w:after="80"/>
      </w:pPr>
      <w:r>
        <w:rPr>
          <w:b/>
          <w:i w:val="0"/>
          <w:color w:val="1B2130"/>
          <w:sz w:val="21"/>
        </w:rPr>
        <w:t>Evidence and closure</w:t>
      </w:r>
    </w:p>
    <w:p>
      <w:pPr>
        <w:spacing w:after="120"/>
      </w:pPr>
      <w:r>
        <w:rPr>
          <w:b w:val="0"/>
          <w:i w:val="0"/>
          <w:sz w:val="20"/>
        </w:rPr>
        <w:t xml:space="preserve">Written Year 1 indications held from Northgate Financial Group, Sentinel Advisory Network and Copperfield Insurance Marketing, totalling </w:t>
      </w:r>
      <w:r>
        <w:rPr>
          <w:b/>
          <w:i w:val="0"/>
          <w:sz w:val="20"/>
        </w:rPr>
        <w:t>$168,000,000</w:t>
      </w:r>
      <w:r>
        <w:rPr>
          <w:b w:val="0"/>
          <w:i w:val="0"/>
          <w:sz w:val="20"/>
        </w:rPr>
        <w:t xml:space="preserve"> against a Year 1 target of $185,000,000. Verified against the method and closed.</w:t>
      </w:r>
    </w:p>
    <w:tbl>
      <w:tblPr>
        <w:tblStyle w:val="TableGrid"/>
        <w:tblW w:type="auto" w:w="0"/>
        <w:tblLook w:firstColumn="1" w:firstRow="1" w:lastColumn="0" w:lastRow="0" w:noHBand="0" w:noVBand="1" w:val="04A0"/>
      </w:tblPr>
      <w:tblGrid>
        <w:gridCol w:w="9648"/>
      </w:tblGrid>
      <w:tr>
        <w:tc>
          <w:tcPr>
            <w:tcW w:type="dxa" w:w="9648"/>
            <w:shd w:val="clear" w:fill="FBEAE8"/>
          </w:tcPr>
          <w:p>
            <w:pPr>
              <w:spacing w:after="120"/>
            </w:pPr>
            <w:r>
              <w:rPr>
                <w:b/>
                <w:i w:val="0"/>
                <w:sz w:val="20"/>
              </w:rPr>
              <w:t>Post-closure efficacy — effective as a control, and it surfaced a problem it could not solve.</w:t>
            </w:r>
            <w:r>
              <w:rPr>
                <w:b w:val="0"/>
                <w:i w:val="0"/>
                <w:sz w:val="20"/>
              </w:rPr>
              <w:t xml:space="preserve"> GC-04 did exactly what it was issued to do: it replaced an unevidenced assumption with written evidence. What that evidence shows is that </w:t>
            </w:r>
            <w:r>
              <w:rPr>
                <w:b/>
                <w:i w:val="0"/>
                <w:sz w:val="20"/>
              </w:rPr>
              <w:t>$17,000,000 of Year 1 premium — 9% — is not covered by any partner indication.</w:t>
            </w:r>
            <w:r>
              <w:rPr>
                <w:b w:val="0"/>
                <w:i w:val="0"/>
                <w:sz w:val="20"/>
              </w:rPr>
              <w:t xml:space="preserve"> The condition is closed. </w:t>
            </w:r>
            <w:r>
              <w:rPr>
                <w:b/>
                <w:i w:val="0"/>
                <w:sz w:val="20"/>
              </w:rPr>
              <w:t>The underlying weakness is not.</w:t>
            </w:r>
            <w:r>
              <w:rPr>
                <w:b w:val="0"/>
                <w:i w:val="0"/>
                <w:sz w:val="20"/>
              </w:rPr>
              <w:t xml:space="preserve"> It now sits with issue </w:t>
            </w:r>
            <w:r>
              <w:rPr>
                <w:b/>
                <w:i w:val="0"/>
                <w:sz w:val="20"/>
              </w:rPr>
              <w:t>I-06</w:t>
            </w:r>
            <w:r>
              <w:rPr>
                <w:b w:val="0"/>
                <w:i w:val="0"/>
                <w:sz w:val="20"/>
              </w:rPr>
              <w:t xml:space="preserve"> (four field wholesalers committed against a plan of six) and risk </w:t>
            </w:r>
            <w:r>
              <w:rPr>
                <w:b/>
                <w:i w:val="0"/>
                <w:sz w:val="20"/>
              </w:rPr>
              <w:t>R-07</w:t>
            </w:r>
            <w:r>
              <w:rPr>
                <w:b w:val="0"/>
                <w:i w:val="0"/>
                <w:sz w:val="20"/>
              </w:rPr>
              <w:t xml:space="preserve">, and it is the reason the §11 downside case in the business case — which fails the hurdle — is treated as live rather than remote. </w:t>
            </w:r>
          </w:p>
        </w:tc>
      </w:tr>
    </w:tbl>
    <w:p/>
    <w:p>
      <w:pPr>
        <w:spacing w:after="120"/>
      </w:pPr>
      <w:r>
        <w:rPr>
          <w:b w:val="0"/>
          <w:i w:val="0"/>
          <w:sz w:val="20"/>
        </w:rPr>
        <w:t>This entry is the reason the register carries an efficacy finding at all. A condition can be verified, closed on time, and leave the risk it was issued against entirely intact. Recording only the closure date would have made this look like a resolved item.</w:t>
      </w:r>
    </w:p>
    <w:p>
      <w:pPr>
        <w:spacing w:before="280" w:after="80"/>
      </w:pPr>
      <w:r>
        <w:rPr>
          <w:b/>
          <w:i w:val="0"/>
          <w:color w:val="14352A"/>
          <w:sz w:val="28"/>
        </w:rPr>
        <w:t>6. GC-05 — Hedging readiness plan with ISDA milestones</w:t>
      </w:r>
    </w:p>
    <w:p>
      <w:pPr>
        <w:spacing w:before="200" w:after="80"/>
      </w:pPr>
      <w:r>
        <w:rPr>
          <w:b/>
          <w:i w:val="0"/>
          <w:color w:val="14352A"/>
          <w:sz w:val="24"/>
        </w:rPr>
        <w:t xml:space="preserve">GC-05 </w:t>
      </w:r>
      <w:r>
        <w:rPr>
          <w:b/>
          <w:i w:val="0"/>
          <w:color w:val="14352A"/>
          <w:sz w:val="24"/>
        </w:rPr>
        <w:t>At risk · due 12 Mar 2027</w:t>
      </w:r>
    </w:p>
    <w:p>
      <w:pPr>
        <w:spacing w:after="120"/>
      </w:pPr>
      <w:r>
        <w:rPr>
          <w:b w:val="0"/>
          <w:i w:val="0"/>
          <w:sz w:val="20"/>
        </w:rPr>
        <w:t>Owner</w:t>
      </w:r>
    </w:p>
    <w:p>
      <w:pPr>
        <w:spacing w:after="120"/>
      </w:pPr>
      <w:r>
        <w:rPr>
          <w:b w:val="0"/>
          <w:i w:val="0"/>
          <w:sz w:val="20"/>
        </w:rPr>
        <w:t>M. Delacroix</w:t>
      </w:r>
    </w:p>
    <w:p>
      <w:pPr>
        <w:spacing w:after="120"/>
      </w:pPr>
      <w:r>
        <w:rPr>
          <w:b w:val="0"/>
          <w:i w:val="0"/>
          <w:sz w:val="20"/>
        </w:rPr>
        <w:t>Issued</w:t>
      </w:r>
    </w:p>
    <w:p>
      <w:pPr>
        <w:spacing w:after="120"/>
      </w:pPr>
      <w:r>
        <w:rPr>
          <w:b w:val="0"/>
          <w:i w:val="0"/>
          <w:sz w:val="20"/>
        </w:rPr>
        <w:t>11 Jun 2026</w:t>
      </w:r>
    </w:p>
    <w:p>
      <w:pPr>
        <w:spacing w:after="120"/>
      </w:pPr>
      <w:r>
        <w:rPr>
          <w:b w:val="0"/>
          <w:i w:val="0"/>
          <w:sz w:val="20"/>
        </w:rPr>
        <w:t>Due</w:t>
      </w:r>
    </w:p>
    <w:p>
      <w:pPr>
        <w:spacing w:after="120"/>
      </w:pPr>
      <w:r>
        <w:rPr>
          <w:b w:val="0"/>
          <w:i w:val="0"/>
          <w:sz w:val="20"/>
        </w:rPr>
        <w:t>12 Mar 2027</w:t>
      </w:r>
    </w:p>
    <w:p>
      <w:pPr>
        <w:spacing w:after="120"/>
      </w:pPr>
      <w:r>
        <w:rPr>
          <w:b w:val="0"/>
          <w:i w:val="0"/>
          <w:sz w:val="20"/>
        </w:rPr>
        <w:t>Assessment</w:t>
      </w:r>
    </w:p>
    <w:p>
      <w:pPr>
        <w:spacing w:after="120"/>
      </w:pPr>
      <w:r>
        <w:rPr>
          <w:b w:val="0"/>
          <w:i w:val="0"/>
          <w:sz w:val="20"/>
        </w:rPr>
        <w:t>At risk</w:t>
      </w:r>
    </w:p>
    <w:p>
      <w:pPr>
        <w:spacing w:before="200" w:after="80"/>
      </w:pPr>
      <w:r>
        <w:rPr>
          <w:b/>
          <w:i w:val="0"/>
          <w:color w:val="1B2130"/>
          <w:sz w:val="21"/>
        </w:rPr>
        <w:t>Condition as issued</w:t>
      </w:r>
    </w:p>
    <w:p>
      <w:pPr>
        <w:spacing w:after="120"/>
      </w:pPr>
      <w:r>
        <w:rPr>
          <w:b w:val="0"/>
          <w:i w:val="0"/>
          <w:sz w:val="20"/>
        </w:rPr>
        <w:t>Present a hedging readiness plan at Gate 2, with dated ISDA execution milestones, accepted by the Chief Financial Officer and the Chief Risk Officer.</w:t>
      </w:r>
    </w:p>
    <w:p>
      <w:pPr>
        <w:spacing w:before="200" w:after="80"/>
      </w:pPr>
      <w:r>
        <w:rPr>
          <w:b/>
          <w:i w:val="0"/>
          <w:color w:val="1B2130"/>
          <w:sz w:val="21"/>
        </w:rPr>
        <w:t>Why it was issued</w:t>
      </w:r>
    </w:p>
    <w:p>
      <w:pPr>
        <w:spacing w:after="120"/>
      </w:pPr>
      <w:r>
        <w:rPr>
          <w:b w:val="0"/>
          <w:i w:val="0"/>
          <w:sz w:val="20"/>
        </w:rPr>
        <w:t xml:space="preserve">The guarantee cannot be sold if it cannot be hedged, and the must-meet certification at Gate 1 was given on in-house capability with a readiness plan to follow. Risk </w:t>
      </w:r>
      <w:r>
        <w:rPr>
          <w:b/>
          <w:i w:val="0"/>
          <w:sz w:val="20"/>
        </w:rPr>
        <w:t>R-05</w:t>
      </w:r>
      <w:r>
        <w:rPr>
          <w:b w:val="0"/>
          <w:i w:val="0"/>
          <w:sz w:val="20"/>
        </w:rPr>
        <w:t>.</w:t>
      </w:r>
    </w:p>
    <w:p>
      <w:pPr>
        <w:spacing w:before="200" w:after="80"/>
      </w:pPr>
      <w:r>
        <w:rPr>
          <w:b/>
          <w:i w:val="0"/>
          <w:color w:val="1B2130"/>
          <w:sz w:val="21"/>
        </w:rPr>
        <w:t>Verification method (as recorded at issue)</w:t>
      </w:r>
    </w:p>
    <w:p>
      <w:pPr>
        <w:spacing w:after="120"/>
      </w:pPr>
      <w:r>
        <w:rPr>
          <w:b w:val="0"/>
          <w:i w:val="0"/>
          <w:sz w:val="20"/>
        </w:rPr>
        <w:t>Plan accepted in writing by the CFO and the CRO. Acceptance of the plan, not completion of the milestones — the milestones themselves run into Stage 3.</w:t>
      </w:r>
    </w:p>
    <w:p>
      <w:pPr>
        <w:spacing w:before="200" w:after="80"/>
      </w:pPr>
      <w:r>
        <w:rPr>
          <w:b/>
          <w:i w:val="0"/>
          <w:color w:val="1B2130"/>
          <w:sz w:val="21"/>
        </w:rPr>
        <w:t>Status at 16 October 2026</w:t>
      </w:r>
    </w:p>
    <w:p>
      <w:pPr>
        <w:spacing w:after="120"/>
      </w:pPr>
      <w:r>
        <w:rPr>
          <w:b/>
          <w:i w:val="0"/>
          <w:sz w:val="20"/>
        </w:rPr>
        <w:t>At risk.</w:t>
      </w:r>
      <w:r>
        <w:rPr>
          <w:b w:val="0"/>
          <w:i w:val="0"/>
          <w:sz w:val="20"/>
        </w:rPr>
        <w:t xml:space="preserve"> The plan is drafted and the target operating model is agreed. Counterparty onboarding is where it is exposed: of the two derivatives counterparties required under </w:t>
      </w:r>
      <w:r>
        <w:rPr>
          <w:b/>
          <w:i w:val="0"/>
          <w:sz w:val="20"/>
        </w:rPr>
        <w:t>DEP-06</w:t>
      </w:r>
      <w:r>
        <w:rPr>
          <w:b w:val="0"/>
          <w:i w:val="0"/>
          <w:sz w:val="20"/>
        </w:rPr>
        <w:t xml:space="preserve">, one is at executed term sheet and </w:t>
      </w:r>
      <w:r>
        <w:rPr>
          <w:b/>
          <w:i w:val="0"/>
          <w:sz w:val="20"/>
        </w:rPr>
        <w:t>the second has not begun negotiation</w:t>
      </w:r>
      <w:r>
        <w:rPr>
          <w:b w:val="0"/>
          <w:i w:val="0"/>
          <w:sz w:val="20"/>
        </w:rPr>
        <w:t>.</w:t>
      </w:r>
    </w:p>
    <w:tbl>
      <w:tblPr>
        <w:tblStyle w:val="TableGrid"/>
        <w:tblW w:type="auto" w:w="0"/>
        <w:tblLook w:firstColumn="1" w:firstRow="1" w:lastColumn="0" w:lastRow="0" w:noHBand="0" w:noVBand="1" w:val="04A0"/>
      </w:tblPr>
      <w:tblGrid>
        <w:gridCol w:w="9648"/>
      </w:tblGrid>
      <w:tr>
        <w:tc>
          <w:tcPr>
            <w:tcW w:type="dxa" w:w="9648"/>
            <w:shd w:val="clear" w:fill="FBEAE8"/>
          </w:tcPr>
          <w:p>
            <w:pPr>
              <w:spacing w:after="120"/>
            </w:pPr>
            <w:r>
              <w:rPr>
                <w:b/>
                <w:i w:val="0"/>
                <w:sz w:val="20"/>
              </w:rPr>
              <w:t>Why this is flagged now rather than at the due date.</w:t>
            </w:r>
            <w:r>
              <w:rPr>
                <w:b w:val="0"/>
                <w:i w:val="0"/>
                <w:sz w:val="20"/>
              </w:rPr>
              <w:t xml:space="preserve"> The condition can technically be satisfied by a plan the CFO and CRO accept, and a plan can be written around a counterparty that has not been approached. Satisfying GC-05 on paper while the second ISDA is unstarted would close the condition and leave </w:t>
            </w:r>
            <w:r>
              <w:rPr>
                <w:b/>
                <w:i w:val="0"/>
                <w:sz w:val="20"/>
              </w:rPr>
              <w:t>R-05</w:t>
            </w:r>
            <w:r>
              <w:rPr>
                <w:b w:val="0"/>
                <w:i w:val="0"/>
                <w:sz w:val="20"/>
              </w:rPr>
              <w:t xml:space="preserve"> exactly where it was — the GC-04 pattern, repeated deliberately instead of accidentally. The Chair's position is that the Gate 2 package should show both counterparties in active negotiation, and that the compression of Stage 2 by six weeks (Recycle Memorandum §8) has removed the float that would otherwise have absorbed this. </w:t>
            </w:r>
          </w:p>
        </w:tc>
      </w:tr>
    </w:tbl>
    <w:p/>
    <w:p>
      <w:pPr>
        <w:spacing w:before="200" w:after="80"/>
      </w:pPr>
      <w:r>
        <w:rPr>
          <w:b/>
          <w:i w:val="0"/>
          <w:color w:val="1B2130"/>
          <w:sz w:val="21"/>
        </w:rPr>
        <w:t>Escalation</w:t>
      </w:r>
    </w:p>
    <w:p>
      <w:pPr>
        <w:spacing w:after="120"/>
      </w:pPr>
      <w:r>
        <w:rPr>
          <w:b w:val="0"/>
          <w:i w:val="0"/>
          <w:sz w:val="20"/>
        </w:rPr>
        <w:t>Raised at the monthly program review on the September cycle. If the second counterparty has not entered negotiation by the January review, the Chair will table it as a standing Gate 2 agenda item with a recommendation that the gate consider a condition re-issue with a hard date rather than a closure.</w:t>
      </w:r>
    </w:p>
    <w:p>
      <w:pPr>
        <w:spacing w:before="280" w:after="80"/>
      </w:pPr>
      <w:r>
        <w:rPr>
          <w:b/>
          <w:i w:val="0"/>
          <w:color w:val="14352A"/>
          <w:sz w:val="28"/>
        </w:rPr>
        <w:t>7. Tracking cadence and verification protocol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When</w:t>
            </w:r>
          </w:p>
        </w:tc>
        <w:tc>
          <w:tcPr>
            <w:tcW w:type="dxa" w:w="3216"/>
            <w:shd w:val="clear" w:fill="14352A"/>
          </w:tcPr>
          <w:p>
            <w:pPr>
              <w:spacing w:before="40" w:after="40"/>
            </w:pPr>
            <w:r>
              <w:rPr>
                <w:b/>
                <w:i w:val="0"/>
                <w:color w:val="FFFFFF"/>
                <w:sz w:val="17"/>
              </w:rPr>
              <w:t>What happens</w:t>
            </w:r>
          </w:p>
        </w:tc>
        <w:tc>
          <w:tcPr>
            <w:tcW w:type="dxa" w:w="3216"/>
            <w:shd w:val="clear" w:fill="14352A"/>
          </w:tcPr>
          <w:p>
            <w:pPr>
              <w:spacing w:before="40" w:after="40"/>
            </w:pPr>
            <w:r>
              <w:rPr>
                <w:b/>
                <w:i w:val="0"/>
                <w:color w:val="FFFFFF"/>
                <w:sz w:val="17"/>
              </w:rPr>
              <w:t>Who</w:t>
            </w:r>
          </w:p>
        </w:tc>
      </w:tr>
      <w:tr>
        <w:tc>
          <w:tcPr>
            <w:tcW w:type="dxa" w:w="3216"/>
          </w:tcPr>
          <w:p>
            <w:pPr>
              <w:spacing w:before="40" w:after="40"/>
            </w:pPr>
            <w:r>
              <w:rPr>
                <w:b w:val="0"/>
                <w:i w:val="0"/>
                <w:sz w:val="17"/>
              </w:rPr>
              <w:t>Monthly program review</w:t>
            </w:r>
          </w:p>
        </w:tc>
        <w:tc>
          <w:tcPr>
            <w:tcW w:type="dxa" w:w="3216"/>
          </w:tcPr>
          <w:p>
            <w:pPr>
              <w:spacing w:before="40" w:after="40"/>
            </w:pPr>
            <w:r>
              <w:rPr>
                <w:b w:val="0"/>
                <w:i w:val="0"/>
                <w:sz w:val="17"/>
              </w:rPr>
              <w:t>Every open condition reviewed against its due date and evidence trajectory; at-risk assessments set or cleared</w:t>
            </w:r>
          </w:p>
        </w:tc>
        <w:tc>
          <w:tcPr>
            <w:tcW w:type="dxa" w:w="3216"/>
          </w:tcPr>
          <w:p>
            <w:pPr>
              <w:spacing w:before="40" w:after="40"/>
            </w:pPr>
            <w:r>
              <w:rPr>
                <w:b w:val="0"/>
                <w:i w:val="0"/>
                <w:sz w:val="17"/>
              </w:rPr>
              <w:t>Chair with condition owners</w:t>
            </w:r>
          </w:p>
        </w:tc>
      </w:tr>
      <w:tr>
        <w:tc>
          <w:tcPr>
            <w:tcW w:type="dxa" w:w="3216"/>
          </w:tcPr>
          <w:p>
            <w:pPr>
              <w:spacing w:before="40" w:after="40"/>
            </w:pPr>
            <w:r>
              <w:rPr>
                <w:b w:val="0"/>
                <w:i w:val="0"/>
                <w:sz w:val="17"/>
              </w:rPr>
              <w:t>On owner request</w:t>
            </w:r>
          </w:p>
        </w:tc>
        <w:tc>
          <w:tcPr>
            <w:tcW w:type="dxa" w:w="3216"/>
          </w:tcPr>
          <w:p>
            <w:pPr>
              <w:spacing w:before="40" w:after="40"/>
            </w:pPr>
            <w:r>
              <w:rPr>
                <w:b w:val="0"/>
                <w:i w:val="0"/>
                <w:sz w:val="17"/>
              </w:rPr>
              <w:t>Evidence submitted against the recorded verification method</w:t>
            </w:r>
          </w:p>
        </w:tc>
        <w:tc>
          <w:tcPr>
            <w:tcW w:type="dxa" w:w="3216"/>
          </w:tcPr>
          <w:p>
            <w:pPr>
              <w:spacing w:before="40" w:after="40"/>
            </w:pPr>
            <w:r>
              <w:rPr>
                <w:b w:val="0"/>
                <w:i w:val="0"/>
                <w:sz w:val="17"/>
              </w:rPr>
              <w:t>Owner</w:t>
            </w:r>
          </w:p>
        </w:tc>
      </w:tr>
      <w:tr>
        <w:tc>
          <w:tcPr>
            <w:tcW w:type="dxa" w:w="3216"/>
          </w:tcPr>
          <w:p>
            <w:pPr>
              <w:spacing w:before="40" w:after="40"/>
            </w:pPr>
            <w:r>
              <w:rPr>
                <w:b w:val="0"/>
                <w:i w:val="0"/>
                <w:sz w:val="17"/>
              </w:rPr>
              <w:t>Within five business days of submission</w:t>
            </w:r>
          </w:p>
        </w:tc>
        <w:tc>
          <w:tcPr>
            <w:tcW w:type="dxa" w:w="3216"/>
          </w:tcPr>
          <w:p>
            <w:pPr>
              <w:spacing w:before="40" w:after="40"/>
            </w:pPr>
            <w:r>
              <w:rPr>
                <w:b w:val="0"/>
                <w:i w:val="0"/>
                <w:sz w:val="17"/>
              </w:rPr>
              <w:t>Chair verifies against the method as issued — not against a method renegotiated at closure</w:t>
            </w:r>
          </w:p>
        </w:tc>
        <w:tc>
          <w:tcPr>
            <w:tcW w:type="dxa" w:w="3216"/>
          </w:tcPr>
          <w:p>
            <w:pPr>
              <w:spacing w:before="40" w:after="40"/>
            </w:pPr>
            <w:r>
              <w:rPr>
                <w:b w:val="0"/>
                <w:i w:val="0"/>
                <w:sz w:val="17"/>
              </w:rPr>
              <w:t>Chair</w:t>
            </w:r>
          </w:p>
        </w:tc>
      </w:tr>
      <w:tr>
        <w:tc>
          <w:tcPr>
            <w:tcW w:type="dxa" w:w="3216"/>
          </w:tcPr>
          <w:p>
            <w:pPr>
              <w:spacing w:before="40" w:after="40"/>
            </w:pPr>
            <w:r>
              <w:rPr>
                <w:b w:val="0"/>
                <w:i w:val="0"/>
                <w:sz w:val="17"/>
              </w:rPr>
              <w:t>On closure</w:t>
            </w:r>
          </w:p>
        </w:tc>
        <w:tc>
          <w:tcPr>
            <w:tcW w:type="dxa" w:w="3216"/>
          </w:tcPr>
          <w:p>
            <w:pPr>
              <w:spacing w:before="40" w:after="40"/>
            </w:pPr>
            <w:r>
              <w:rPr>
                <w:b w:val="0"/>
                <w:i w:val="0"/>
                <w:sz w:val="17"/>
              </w:rPr>
              <w:t>Closure date, evidence and an efficacy finding recorded in this register</w:t>
            </w:r>
          </w:p>
        </w:tc>
        <w:tc>
          <w:tcPr>
            <w:tcW w:type="dxa" w:w="3216"/>
          </w:tcPr>
          <w:p>
            <w:pPr>
              <w:spacing w:before="40" w:after="40"/>
            </w:pPr>
            <w:r>
              <w:rPr>
                <w:b w:val="0"/>
                <w:i w:val="0"/>
                <w:sz w:val="17"/>
              </w:rPr>
              <w:t>Chair</w:t>
            </w:r>
          </w:p>
        </w:tc>
      </w:tr>
      <w:tr>
        <w:tc>
          <w:tcPr>
            <w:tcW w:type="dxa" w:w="3216"/>
          </w:tcPr>
          <w:p>
            <w:pPr>
              <w:spacing w:before="40" w:after="40"/>
            </w:pPr>
            <w:r>
              <w:rPr>
                <w:b w:val="0"/>
                <w:i w:val="0"/>
                <w:sz w:val="17"/>
              </w:rPr>
              <w:t>Ten business days before Gate 2</w:t>
            </w:r>
          </w:p>
        </w:tc>
        <w:tc>
          <w:tcPr>
            <w:tcW w:type="dxa" w:w="3216"/>
          </w:tcPr>
          <w:p>
            <w:pPr>
              <w:spacing w:before="40" w:after="40"/>
            </w:pPr>
            <w:r>
              <w:rPr>
                <w:b w:val="0"/>
                <w:i w:val="0"/>
                <w:sz w:val="17"/>
              </w:rPr>
              <w:t>Register tabled in the gate package with all statuses current</w:t>
            </w:r>
          </w:p>
        </w:tc>
        <w:tc>
          <w:tcPr>
            <w:tcW w:type="dxa" w:w="3216"/>
          </w:tcPr>
          <w:p>
            <w:pPr>
              <w:spacing w:before="40" w:after="40"/>
            </w:pPr>
            <w:r>
              <w:rPr>
                <w:b w:val="0"/>
                <w:i w:val="0"/>
                <w:sz w:val="17"/>
              </w:rPr>
              <w:t>Chair</w:t>
            </w:r>
          </w:p>
        </w:tc>
      </w:tr>
    </w:tbl>
    <w:p/>
    <w:p>
      <w:pPr>
        <w:spacing w:after="120"/>
      </w:pPr>
      <w:r>
        <w:rPr>
          <w:b w:val="0"/>
          <w:i w:val="0"/>
          <w:sz w:val="20"/>
        </w:rPr>
        <w:t>Owners cannot close their own conditions, and the verification method cannot be varied by agreement between the owner and the Chair. Varying it requires a Board decision, minuted — because a method that can be relaxed at closure is not a method, it is an aspiration.</w:t>
      </w:r>
    </w:p>
    <w:p>
      <w:pPr>
        <w:spacing w:before="280" w:after="80"/>
      </w:pPr>
      <w:r>
        <w:rPr>
          <w:b/>
          <w:i w:val="0"/>
          <w:color w:val="14352A"/>
          <w:sz w:val="28"/>
        </w:rPr>
        <w:t>8. What happens at Gate 2 if a condition is open</w:t>
      </w:r>
    </w:p>
    <w:p>
      <w:pPr>
        <w:spacing w:after="120"/>
      </w:pPr>
      <w:r>
        <w:rPr>
          <w:b w:val="0"/>
          <w:i w:val="0"/>
          <w:sz w:val="20"/>
        </w:rPr>
        <w:t>An open condition at the next gate is an automatic agenda item under Governance Model §9 and may itself trigger a recycle. The Board's options are:</w:t>
      </w:r>
    </w:p>
    <w:p>
      <w:pPr>
        <w:pStyle w:val="ListNumber"/>
        <w:spacing w:after="60"/>
      </w:pPr>
      <w:r>
        <w:rPr>
          <w:b/>
          <w:i w:val="0"/>
          <w:sz w:val="20"/>
        </w:rPr>
        <w:t>Verify and close</w:t>
      </w:r>
      <w:r>
        <w:rPr>
          <w:b w:val="0"/>
          <w:i w:val="0"/>
          <w:sz w:val="20"/>
        </w:rPr>
        <w:t xml:space="preserve"> — evidence satisfies the method as issued.</w:t>
      </w:r>
    </w:p>
    <w:p>
      <w:pPr>
        <w:pStyle w:val="ListNumber"/>
        <w:spacing w:after="60"/>
      </w:pPr>
      <w:r>
        <w:rPr>
          <w:b/>
          <w:i w:val="0"/>
          <w:sz w:val="20"/>
        </w:rPr>
        <w:t>Re-issue with a new date</w:t>
      </w:r>
      <w:r>
        <w:rPr>
          <w:b w:val="0"/>
          <w:i w:val="0"/>
          <w:sz w:val="20"/>
        </w:rPr>
        <w:t xml:space="preserve"> — the condition stands, the deadline moves, and the re-issue is minuted with reasons. Available only where the delay does not compound.</w:t>
      </w:r>
    </w:p>
    <w:p>
      <w:pPr>
        <w:pStyle w:val="ListNumber"/>
        <w:spacing w:after="60"/>
      </w:pPr>
      <w:r>
        <w:rPr>
          <w:b/>
          <w:i w:val="0"/>
          <w:sz w:val="20"/>
        </w:rPr>
        <w:t>Recycle the gate</w:t>
      </w:r>
      <w:r>
        <w:rPr>
          <w:b w:val="0"/>
          <w:i w:val="0"/>
          <w:sz w:val="20"/>
        </w:rPr>
        <w:t xml:space="preserve"> — where the open condition prevents the gate's must-meet criteria from being certified. GC-03 sits in this category: the Gate 2 must-meet list requires pricing "supported by the independent external review required under GC-03."</w:t>
      </w:r>
    </w:p>
    <w:p>
      <w:pPr>
        <w:pStyle w:val="ListNumber"/>
        <w:spacing w:after="60"/>
      </w:pPr>
      <w:r>
        <w:rPr>
          <w:b/>
          <w:i w:val="0"/>
          <w:sz w:val="20"/>
        </w:rPr>
        <w:t>Escalate to a cancel consideration</w:t>
      </w:r>
      <w:r>
        <w:rPr>
          <w:b w:val="0"/>
          <w:i w:val="0"/>
          <w:sz w:val="20"/>
        </w:rPr>
        <w:t xml:space="preserve"> — where the condition is open because the underlying problem has proved unsolvable rather than merely late.</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GC-03 is a Gate 2 blocker; GC-05 is not, and the difference is deliberate.</w:t>
            </w:r>
            <w:r>
              <w:rPr>
                <w:b w:val="0"/>
                <w:i w:val="0"/>
                <w:sz w:val="20"/>
              </w:rPr>
              <w:t xml:space="preserve"> Gate 2's must-meet list names GC-03 explicitly, so an unclosed GC-03 removes GO from the available outcomes. GC-05 is a should-meet input feeding the feasibility score. That is the correct weighting — but it also means GC-05 could be closed thinly without anyone being obliged to notice, which is precisely why §6 flags it now. </w:t>
            </w:r>
          </w:p>
        </w:tc>
      </w:tr>
    </w:tbl>
    <w:p/>
    <w:p>
      <w:pPr>
        <w:spacing w:before="280" w:after="80"/>
      </w:pPr>
      <w:r>
        <w:rPr>
          <w:b/>
          <w:i w:val="0"/>
          <w:color w:val="14352A"/>
          <w:sz w:val="28"/>
        </w:rPr>
        <w:t>9. The standing efficacy question</w:t>
      </w:r>
    </w:p>
    <w:p>
      <w:pPr>
        <w:spacing w:after="120"/>
      </w:pPr>
      <w:r>
        <w:rPr>
          <w:b w:val="0"/>
          <w:i w:val="0"/>
          <w:sz w:val="20"/>
        </w:rPr>
        <w:t>Every closed condition in this register carries a finding on whether closing it changed anything. This is not commentary; it is a control, and it feeds Gate 5.</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ID</w:t>
            </w:r>
          </w:p>
        </w:tc>
        <w:tc>
          <w:tcPr>
            <w:tcW w:type="dxa" w:w="3216"/>
            <w:shd w:val="clear" w:fill="14352A"/>
          </w:tcPr>
          <w:p>
            <w:pPr>
              <w:spacing w:before="40" w:after="40"/>
            </w:pPr>
            <w:r>
              <w:rPr>
                <w:b/>
                <w:i w:val="0"/>
                <w:color w:val="FFFFFF"/>
                <w:sz w:val="17"/>
              </w:rPr>
              <w:t>Closed</w:t>
            </w:r>
          </w:p>
        </w:tc>
        <w:tc>
          <w:tcPr>
            <w:tcW w:type="dxa" w:w="3216"/>
            <w:shd w:val="clear" w:fill="14352A"/>
          </w:tcPr>
          <w:p>
            <w:pPr>
              <w:spacing w:before="40" w:after="40"/>
            </w:pPr>
            <w:r>
              <w:rPr>
                <w:b/>
                <w:i w:val="0"/>
                <w:color w:val="FFFFFF"/>
                <w:sz w:val="17"/>
              </w:rPr>
              <w:t>Did closure change the underlying position?</w:t>
            </w:r>
          </w:p>
        </w:tc>
      </w:tr>
      <w:tr>
        <w:tc>
          <w:tcPr>
            <w:tcW w:type="dxa" w:w="3216"/>
          </w:tcPr>
          <w:p>
            <w:pPr>
              <w:spacing w:before="40" w:after="40"/>
            </w:pPr>
            <w:r>
              <w:rPr>
                <w:b/>
                <w:i w:val="0"/>
                <w:sz w:val="17"/>
              </w:rPr>
              <w:t>GC-01</w:t>
            </w:r>
          </w:p>
        </w:tc>
        <w:tc>
          <w:tcPr>
            <w:tcW w:type="dxa" w:w="3216"/>
          </w:tcPr>
          <w:p>
            <w:pPr>
              <w:spacing w:before="40" w:after="40"/>
            </w:pPr>
            <w:r>
              <w:rPr>
                <w:b w:val="0"/>
                <w:i w:val="0"/>
                <w:sz w:val="17"/>
              </w:rPr>
              <w:t>21 Jul 2026</w:t>
            </w:r>
          </w:p>
        </w:tc>
        <w:tc>
          <w:tcPr>
            <w:tcW w:type="dxa" w:w="3216"/>
          </w:tcPr>
          <w:p>
            <w:pPr>
              <w:spacing w:before="40" w:after="40"/>
            </w:pPr>
            <w:r>
              <w:rPr>
                <w:b/>
                <w:i w:val="0"/>
                <w:sz w:val="17"/>
              </w:rPr>
              <w:t>Yes</w:t>
            </w:r>
            <w:r>
              <w:rPr>
                <w:b w:val="0"/>
                <w:i w:val="0"/>
                <w:sz w:val="17"/>
              </w:rPr>
              <w:t xml:space="preserve"> — scope permanently reduced, dependency removed, allocation returned to reserve</w:t>
            </w:r>
          </w:p>
        </w:tc>
      </w:tr>
      <w:tr>
        <w:tc>
          <w:tcPr>
            <w:tcW w:type="dxa" w:w="3216"/>
          </w:tcPr>
          <w:p>
            <w:pPr>
              <w:spacing w:before="40" w:after="40"/>
            </w:pPr>
            <w:r>
              <w:rPr>
                <w:b/>
                <w:i w:val="0"/>
                <w:sz w:val="17"/>
              </w:rPr>
              <w:t>GC-02</w:t>
            </w:r>
          </w:p>
        </w:tc>
        <w:tc>
          <w:tcPr>
            <w:tcW w:type="dxa" w:w="3216"/>
          </w:tcPr>
          <w:p>
            <w:pPr>
              <w:spacing w:before="40" w:after="40"/>
            </w:pPr>
            <w:r>
              <w:rPr>
                <w:b w:val="0"/>
                <w:i w:val="0"/>
                <w:sz w:val="17"/>
              </w:rPr>
              <w:t>03 Jul 2026</w:t>
            </w:r>
          </w:p>
        </w:tc>
        <w:tc>
          <w:tcPr>
            <w:tcW w:type="dxa" w:w="3216"/>
          </w:tcPr>
          <w:p>
            <w:pPr>
              <w:spacing w:before="40" w:after="40"/>
            </w:pPr>
            <w:r>
              <w:rPr>
                <w:b/>
                <w:i w:val="0"/>
                <w:sz w:val="17"/>
              </w:rPr>
              <w:t>Yes</w:t>
            </w:r>
            <w:r>
              <w:rPr>
                <w:b w:val="0"/>
                <w:i w:val="0"/>
                <w:sz w:val="17"/>
              </w:rPr>
              <w:t xml:space="preserve"> — exclusion now load-bearing across filing, distribution and training scope</w:t>
            </w:r>
          </w:p>
        </w:tc>
      </w:tr>
      <w:tr>
        <w:tc>
          <w:tcPr>
            <w:tcW w:type="dxa" w:w="3216"/>
          </w:tcPr>
          <w:p>
            <w:pPr>
              <w:spacing w:before="40" w:after="40"/>
            </w:pPr>
            <w:r>
              <w:rPr>
                <w:b/>
                <w:i w:val="0"/>
                <w:sz w:val="17"/>
              </w:rPr>
              <w:t>GC-04</w:t>
            </w:r>
          </w:p>
        </w:tc>
        <w:tc>
          <w:tcPr>
            <w:tcW w:type="dxa" w:w="3216"/>
          </w:tcPr>
          <w:p>
            <w:pPr>
              <w:spacing w:before="40" w:after="40"/>
            </w:pPr>
            <w:r>
              <w:rPr>
                <w:b w:val="0"/>
                <w:i w:val="0"/>
                <w:sz w:val="17"/>
              </w:rPr>
              <w:t>14 Aug 2026</w:t>
            </w:r>
          </w:p>
        </w:tc>
        <w:tc>
          <w:tcPr>
            <w:tcW w:type="dxa" w:w="3216"/>
          </w:tcPr>
          <w:p>
            <w:pPr>
              <w:spacing w:before="40" w:after="40"/>
            </w:pPr>
            <w:r>
              <w:rPr>
                <w:b/>
                <w:i w:val="0"/>
                <w:sz w:val="17"/>
              </w:rPr>
              <w:t>Partially</w:t>
            </w:r>
            <w:r>
              <w:rPr>
                <w:b w:val="0"/>
                <w:i w:val="0"/>
                <w:sz w:val="17"/>
              </w:rPr>
              <w:t xml:space="preserve"> — evidence obtained, but $17,000,000 of Year 1 premium remains uncommitted; the risk is unchanged and now sits with I-06 and R-07</w:t>
            </w:r>
          </w:p>
        </w:tc>
      </w:tr>
    </w:tbl>
    <w:p/>
    <w:p>
      <w:pPr>
        <w:spacing w:after="120"/>
      </w:pPr>
      <w:r>
        <w:rPr>
          <w:b w:val="0"/>
          <w:i w:val="0"/>
          <w:sz w:val="20"/>
        </w:rPr>
        <w:t>Gate 5 reviews whether the conditions issued at Gate 1 achieved what they were issued to achieve. On the current record, two did and one produced evidence without producing a remedy. That is a finding about the condition mechanism, not about the owner: GC-04 was well specified and correctly verified. It simply could not, by itself, make partners commit volume they had not committed.</w:t>
      </w:r>
    </w:p>
    <w:p>
      <w:pPr>
        <w:spacing w:before="280" w:after="80"/>
      </w:pPr>
      <w:r>
        <w:rPr>
          <w:b/>
          <w:i w:val="0"/>
          <w:color w:val="14352A"/>
          <w:sz w:val="28"/>
        </w:rPr>
        <w:t>10. Document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Version</w:t>
            </w:r>
          </w:p>
        </w:tc>
        <w:tc>
          <w:tcPr>
            <w:tcW w:type="dxa" w:w="3216"/>
            <w:shd w:val="clear" w:fill="14352A"/>
          </w:tcPr>
          <w:p>
            <w:pPr>
              <w:spacing w:before="40" w:after="40"/>
            </w:pPr>
            <w:r>
              <w:rPr>
                <w:b/>
                <w:i w:val="0"/>
                <w:color w:val="FFFFFF"/>
                <w:sz w:val="17"/>
              </w:rPr>
              <w:t>Date</w:t>
            </w:r>
          </w:p>
        </w:tc>
        <w:tc>
          <w:tcPr>
            <w:tcW w:type="dxa" w:w="3216"/>
            <w:shd w:val="clear" w:fill="14352A"/>
          </w:tcPr>
          <w:p>
            <w:pPr>
              <w:spacing w:before="40" w:after="40"/>
            </w:pPr>
            <w:r>
              <w:rPr>
                <w:b/>
                <w:i w:val="0"/>
                <w:color w:val="FFFFFF"/>
                <w:sz w:val="17"/>
              </w:rPr>
              <w:t>Change</w:t>
            </w:r>
          </w:p>
        </w:tc>
      </w:tr>
      <w:tr>
        <w:tc>
          <w:tcPr>
            <w:tcW w:type="dxa" w:w="3216"/>
          </w:tcPr>
          <w:p>
            <w:pPr>
              <w:spacing w:before="40" w:after="40"/>
            </w:pPr>
            <w:r>
              <w:rPr>
                <w:b w:val="0"/>
                <w:i w:val="0"/>
                <w:sz w:val="17"/>
              </w:rPr>
              <w:t>1.0</w:t>
            </w:r>
          </w:p>
        </w:tc>
        <w:tc>
          <w:tcPr>
            <w:tcW w:type="dxa" w:w="3216"/>
          </w:tcPr>
          <w:p>
            <w:pPr>
              <w:spacing w:before="40" w:after="40"/>
            </w:pPr>
            <w:r>
              <w:rPr>
                <w:b w:val="0"/>
                <w:i w:val="0"/>
                <w:sz w:val="17"/>
              </w:rPr>
              <w:t>11 Jun 2026</w:t>
            </w:r>
          </w:p>
        </w:tc>
        <w:tc>
          <w:tcPr>
            <w:tcW w:type="dxa" w:w="3216"/>
          </w:tcPr>
          <w:p>
            <w:pPr>
              <w:spacing w:before="40" w:after="40"/>
            </w:pPr>
            <w:r>
              <w:rPr>
                <w:b w:val="0"/>
                <w:i w:val="0"/>
                <w:sz w:val="17"/>
              </w:rPr>
              <w:t>Register opened at the Gate 1 second convening with five conditions.</w:t>
            </w:r>
          </w:p>
        </w:tc>
      </w:tr>
      <w:tr>
        <w:tc>
          <w:tcPr>
            <w:tcW w:type="dxa" w:w="3216"/>
          </w:tcPr>
          <w:p>
            <w:pPr>
              <w:spacing w:before="40" w:after="40"/>
            </w:pPr>
            <w:r>
              <w:rPr>
                <w:b w:val="0"/>
                <w:i w:val="0"/>
                <w:sz w:val="17"/>
              </w:rPr>
              <w:t>1.1</w:t>
            </w:r>
          </w:p>
        </w:tc>
        <w:tc>
          <w:tcPr>
            <w:tcW w:type="dxa" w:w="3216"/>
          </w:tcPr>
          <w:p>
            <w:pPr>
              <w:spacing w:before="40" w:after="40"/>
            </w:pPr>
            <w:r>
              <w:rPr>
                <w:b w:val="0"/>
                <w:i w:val="0"/>
                <w:sz w:val="17"/>
              </w:rPr>
              <w:t>03 Jul 2026</w:t>
            </w:r>
          </w:p>
        </w:tc>
        <w:tc>
          <w:tcPr>
            <w:tcW w:type="dxa" w:w="3216"/>
          </w:tcPr>
          <w:p>
            <w:pPr>
              <w:spacing w:before="40" w:after="40"/>
            </w:pPr>
            <w:r>
              <w:rPr>
                <w:b w:val="0"/>
                <w:i w:val="0"/>
                <w:sz w:val="17"/>
              </w:rPr>
              <w:t>GC-02 verified and closed; GC/CCO abstention resolved.</w:t>
            </w:r>
          </w:p>
        </w:tc>
      </w:tr>
      <w:tr>
        <w:tc>
          <w:tcPr>
            <w:tcW w:type="dxa" w:w="3216"/>
          </w:tcPr>
          <w:p>
            <w:pPr>
              <w:spacing w:before="40" w:after="40"/>
            </w:pPr>
            <w:r>
              <w:rPr>
                <w:b w:val="0"/>
                <w:i w:val="0"/>
                <w:sz w:val="17"/>
              </w:rPr>
              <w:t>1.2</w:t>
            </w:r>
          </w:p>
        </w:tc>
        <w:tc>
          <w:tcPr>
            <w:tcW w:type="dxa" w:w="3216"/>
          </w:tcPr>
          <w:p>
            <w:pPr>
              <w:spacing w:before="40" w:after="40"/>
            </w:pPr>
            <w:r>
              <w:rPr>
                <w:b w:val="0"/>
                <w:i w:val="0"/>
                <w:sz w:val="17"/>
              </w:rPr>
              <w:t>21 Jul 2026</w:t>
            </w:r>
          </w:p>
        </w:tc>
        <w:tc>
          <w:tcPr>
            <w:tcW w:type="dxa" w:w="3216"/>
          </w:tcPr>
          <w:p>
            <w:pPr>
              <w:spacing w:before="40" w:after="40"/>
            </w:pPr>
            <w:r>
              <w:rPr>
                <w:b w:val="0"/>
                <w:i w:val="0"/>
                <w:sz w:val="17"/>
              </w:rPr>
              <w:t>GC-01 verified and closed; D-03 recorded.</w:t>
            </w:r>
          </w:p>
        </w:tc>
      </w:tr>
      <w:tr>
        <w:tc>
          <w:tcPr>
            <w:tcW w:type="dxa" w:w="3216"/>
          </w:tcPr>
          <w:p>
            <w:pPr>
              <w:spacing w:before="40" w:after="40"/>
            </w:pPr>
            <w:r>
              <w:rPr>
                <w:b w:val="0"/>
                <w:i w:val="0"/>
                <w:sz w:val="17"/>
              </w:rPr>
              <w:t>1.3</w:t>
            </w:r>
          </w:p>
        </w:tc>
        <w:tc>
          <w:tcPr>
            <w:tcW w:type="dxa" w:w="3216"/>
          </w:tcPr>
          <w:p>
            <w:pPr>
              <w:spacing w:before="40" w:after="40"/>
            </w:pPr>
            <w:r>
              <w:rPr>
                <w:b w:val="0"/>
                <w:i w:val="0"/>
                <w:sz w:val="17"/>
              </w:rPr>
              <w:t>14 Aug 2026</w:t>
            </w:r>
          </w:p>
        </w:tc>
        <w:tc>
          <w:tcPr>
            <w:tcW w:type="dxa" w:w="3216"/>
          </w:tcPr>
          <w:p>
            <w:pPr>
              <w:spacing w:before="40" w:after="40"/>
            </w:pPr>
            <w:r>
              <w:rPr>
                <w:b w:val="0"/>
                <w:i w:val="0"/>
                <w:sz w:val="17"/>
              </w:rPr>
              <w:t>GC-04 verified and closed. Efficacy finding added — $17,000,000 uncommitted premium disclosed and referred to I-06 and R-07.</w:t>
            </w:r>
          </w:p>
        </w:tc>
      </w:tr>
      <w:tr>
        <w:tc>
          <w:tcPr>
            <w:tcW w:type="dxa" w:w="3216"/>
          </w:tcPr>
          <w:p>
            <w:pPr>
              <w:spacing w:before="40" w:after="40"/>
            </w:pPr>
            <w:r>
              <w:rPr>
                <w:b w:val="0"/>
                <w:i w:val="0"/>
                <w:sz w:val="17"/>
              </w:rPr>
              <w:t>1.4</w:t>
            </w:r>
          </w:p>
        </w:tc>
        <w:tc>
          <w:tcPr>
            <w:tcW w:type="dxa" w:w="3216"/>
          </w:tcPr>
          <w:p>
            <w:pPr>
              <w:spacing w:before="40" w:after="40"/>
            </w:pPr>
            <w:r>
              <w:rPr>
                <w:b w:val="0"/>
                <w:i w:val="0"/>
                <w:sz w:val="17"/>
              </w:rPr>
              <w:t>16 Oct 2026</w:t>
            </w:r>
          </w:p>
        </w:tc>
        <w:tc>
          <w:tcPr>
            <w:tcW w:type="dxa" w:w="3216"/>
          </w:tcPr>
          <w:p>
            <w:pPr>
              <w:spacing w:before="40" w:after="40"/>
            </w:pPr>
            <w:r>
              <w:rPr>
                <w:b w:val="0"/>
                <w:i w:val="0"/>
                <w:sz w:val="17"/>
              </w:rPr>
              <w:t xml:space="preserve">GC-05 assessed </w:t>
            </w:r>
            <w:r>
              <w:rPr>
                <w:b/>
                <w:i w:val="0"/>
                <w:sz w:val="17"/>
              </w:rPr>
              <w:t>at risk</w:t>
            </w:r>
            <w:r>
              <w:rPr>
                <w:b w:val="0"/>
                <w:i w:val="0"/>
                <w:sz w:val="17"/>
              </w:rPr>
              <w:t xml:space="preserve"> following the September program review. Efficacy question formalised at §9.</w:t>
            </w:r>
          </w:p>
        </w:tc>
      </w:tr>
    </w:tbl>
    <w:p/>
    <w:p>
      <w:pPr>
        <w:spacing w:after="120"/>
      </w:pPr>
      <w:r>
        <w:rPr>
          <w:b w:val="0"/>
          <w:i w:val="0"/>
          <w:sz w:val="20"/>
        </w:rPr>
        <w:t xml:space="preserve">Maintained by C. Tyrrell, NPD Program Manager and Chair of the Gate Review Board. Related: </w:t>
      </w:r>
      <w:r>
        <w:rPr>
          <w:b w:val="0"/>
          <w:i w:val="0"/>
          <w:sz w:val="20"/>
        </w:rPr>
        <w:t>Stage-Gate Governance Model</w:t>
      </w:r>
      <w:r>
        <w:rPr>
          <w:b w:val="0"/>
          <w:i w:val="0"/>
          <w:sz w:val="20"/>
        </w:rPr>
        <w:t xml:space="preserve"> §11 · </w:t>
      </w:r>
      <w:r>
        <w:rPr>
          <w:b w:val="0"/>
          <w:i w:val="0"/>
          <w:sz w:val="20"/>
        </w:rPr>
        <w:t>Gate Decision Framework</w:t>
      </w:r>
      <w:r>
        <w:rPr>
          <w:b w:val="0"/>
          <w:i w:val="0"/>
          <w:sz w:val="20"/>
        </w:rPr>
        <w:t xml:space="preserve"> · </w:t>
      </w:r>
      <w:r>
        <w:rPr>
          <w:b w:val="0"/>
          <w:i w:val="0"/>
          <w:sz w:val="20"/>
        </w:rPr>
        <w:t>Gate 1 Business Case Package</w:t>
      </w:r>
      <w:r>
        <w:rPr>
          <w:b w:val="0"/>
          <w:i w:val="0"/>
          <w:sz w:val="20"/>
        </w:rPr>
        <w:t xml:space="preserve"> · </w:t>
      </w:r>
      <w:r>
        <w:rPr>
          <w:b w:val="0"/>
          <w:i w:val="0"/>
          <w:sz w:val="20"/>
        </w:rPr>
        <w:t>Gate 1 Recycle Memorandum</w:t>
      </w:r>
      <w:r>
        <w:rPr>
          <w:b w:val="0"/>
          <w:i w:val="0"/>
          <w:sz w:val="20"/>
        </w:rPr>
        <w:t>.</w:t>
      </w:r>
    </w:p>
    <w:p/>
    <w:p>
      <w:pPr>
        <w:jc w:val="left"/>
      </w:pPr>
      <w:r>
        <w:rPr>
          <w:color w:val="5B6472"/>
          <w:sz w:val="15"/>
        </w:rPr>
        <w:t>Lighthouse Financial Services Company — Beacon Index Advantage program. Fictional portfolio artifact produced by C. Tyrrell to</w:t>
        <w:br/>
        <w:t>demonstrate stage-gate new product development governance. No real company, product, person or</w:t>
        <w:br/>
        <w:t>filing is depicted.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