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color w:val="5B6472"/>
          <w:sz w:val="18"/>
        </w:rPr>
        <w:t>Lighthouse Financial Services Company</w:t>
      </w:r>
    </w:p>
    <w:p>
      <w:r>
        <w:rPr>
          <w:b/>
          <w:color w:val="14352A"/>
          <w:sz w:val="34"/>
        </w:rPr>
        <w:t>Gate Decision Framework — Version 2.0</w:t>
      </w:r>
    </w:p>
    <w:p>
      <w:r>
        <w:rPr>
          <w:color w:val="1E5945"/>
          <w:sz w:val="18"/>
        </w:rPr>
        <w:t>Gate Assessment Standard</w:t>
      </w:r>
    </w:p>
    <w:p/>
    <w:p>
      <w:pPr>
        <w:spacing w:after="120"/>
      </w:pPr>
      <w:r>
        <w:rPr>
          <w:b/>
          <w:i w:val="0"/>
          <w:sz w:val="20"/>
        </w:rPr>
        <w:t>Lighthouse Financial Services Company</w:t>
      </w:r>
      <w:r>
        <w:rPr>
          <w:b w:val="0"/>
          <w:i w:val="0"/>
          <w:sz w:val="20"/>
        </w:rPr>
        <w:t xml:space="preserve"> — The </w:t>
      </w:r>
      <w:r>
        <w:rPr>
          <w:b w:val="0"/>
          <w:i w:val="0"/>
          <w:sz w:val="20"/>
        </w:rPr>
        <w:t>Stage-Gate Governance Model</w:t>
      </w:r>
      <w:r>
        <w:rPr>
          <w:b w:val="0"/>
          <w:i w:val="0"/>
          <w:sz w:val="20"/>
        </w:rPr>
        <w:t xml:space="preserve"> establishes who decides and how the process runs. This document establishes </w:t>
      </w:r>
      <w:r>
        <w:rPr>
          <w:b/>
          <w:i w:val="0"/>
          <w:sz w:val="20"/>
        </w:rPr>
        <w:t>what is assessed and to what standard</w:t>
      </w:r>
      <w:r>
        <w:rPr>
          <w:b w:val="0"/>
          <w:i w:val="0"/>
          <w:sz w:val="20"/>
        </w:rPr>
        <w:t>. It defines the two-tier test applied at every gate, the evidence that counts, the score bands and their relationship to the five outcomes, the specific criteria for each of the six gates, and the scored record of the gates already held.</w:t>
      </w:r>
    </w:p>
    <w:tbl>
      <w:tblPr>
        <w:tblStyle w:val="TableGrid"/>
        <w:tblW w:type="auto" w:w="0"/>
        <w:tblLook w:firstColumn="1" w:firstRow="1" w:lastColumn="0" w:lastRow="0" w:noHBand="0" w:noVBand="1" w:val="04A0"/>
      </w:tblPr>
      <w:tblGrid>
        <w:gridCol w:w="9648"/>
      </w:tblGrid>
      <w:tr>
        <w:tc>
          <w:tcPr>
            <w:tcW w:type="dxa" w:w="9648"/>
            <w:shd w:val="clear" w:fill="E8F1ED"/>
          </w:tcPr>
          <w:p>
            <w:pPr>
              <w:spacing w:after="120"/>
            </w:pPr>
            <w:r>
              <w:rPr>
                <w:b/>
                <w:i w:val="0"/>
                <w:sz w:val="20"/>
              </w:rPr>
              <w:t>The framework structures the decision. It does not make it.</w:t>
            </w:r>
            <w:r>
              <w:rPr>
                <w:b w:val="0"/>
                <w:i w:val="0"/>
                <w:sz w:val="20"/>
              </w:rPr>
              <w:t xml:space="preserve"> A weighted score is an input to a vote, never a substitute for one. Nothing in this document obliges the Gate Review Board to approve a program that scores well or to cancel one that scores badly. Its purpose is to make the Board argue about the right things, in the same terms, at every gate — and to make a departure from the score visible and attributable rather than quiet. </w:t>
            </w:r>
          </w:p>
        </w:tc>
      </w:tr>
    </w:tbl>
    <w:p/>
    <w:p>
      <w:pPr>
        <w:spacing w:before="280" w:after="80"/>
      </w:pPr>
      <w:r>
        <w:rPr>
          <w:b/>
          <w:i w:val="0"/>
          <w:color w:val="14352A"/>
          <w:sz w:val="28"/>
        </w:rPr>
        <w:t>Table of Contents</w:t>
      </w:r>
    </w:p>
    <w:p>
      <w:pPr>
        <w:spacing w:after="120"/>
      </w:pPr>
      <w:r>
        <w:rPr>
          <w:b w:val="0"/>
          <w:i w:val="0"/>
          <w:sz w:val="20"/>
        </w:rPr>
        <w:t>Part I — The Assessment Method</w:t>
      </w:r>
    </w:p>
    <w:p>
      <w:pPr>
        <w:pStyle w:val="ListNumber"/>
        <w:spacing w:after="60"/>
      </w:pPr>
      <w:r>
        <w:rPr>
          <w:b w:val="0"/>
          <w:i w:val="0"/>
          <w:sz w:val="20"/>
        </w:rPr>
        <w:t>Purpose &amp; Relationship to the Governance Model</w:t>
      </w:r>
    </w:p>
    <w:p>
      <w:pPr>
        <w:pStyle w:val="ListNumber"/>
        <w:spacing w:after="60"/>
      </w:pPr>
      <w:r>
        <w:rPr>
          <w:b w:val="0"/>
          <w:i w:val="0"/>
          <w:sz w:val="20"/>
        </w:rPr>
        <w:t>The Two-Tier Test — Must-Meet and Should-Meet</w:t>
      </w:r>
    </w:p>
    <w:p>
      <w:pPr>
        <w:pStyle w:val="ListNumber"/>
        <w:spacing w:after="60"/>
      </w:pPr>
      <w:r>
        <w:rPr>
          <w:b w:val="0"/>
          <w:i w:val="0"/>
          <w:sz w:val="20"/>
        </w:rPr>
        <w:t>The Scoring Scale</w:t>
      </w:r>
    </w:p>
    <w:p>
      <w:pPr>
        <w:pStyle w:val="ListNumber"/>
        <w:spacing w:after="60"/>
      </w:pPr>
      <w:r>
        <w:rPr>
          <w:b w:val="0"/>
          <w:i w:val="0"/>
          <w:sz w:val="20"/>
        </w:rPr>
        <w:t>The Evidence Standard</w:t>
      </w:r>
    </w:p>
    <w:p>
      <w:pPr>
        <w:pStyle w:val="ListNumber"/>
        <w:spacing w:after="60"/>
      </w:pPr>
      <w:r>
        <w:rPr>
          <w:b w:val="0"/>
          <w:i w:val="0"/>
          <w:sz w:val="20"/>
        </w:rPr>
        <w:t>Score Bands &amp; Their Relationship to Outcomes</w:t>
      </w:r>
    </w:p>
    <w:p>
      <w:pPr>
        <w:pStyle w:val="ListNumber"/>
        <w:spacing w:after="60"/>
      </w:pPr>
      <w:r>
        <w:rPr>
          <w:b w:val="0"/>
          <w:i w:val="0"/>
          <w:sz w:val="20"/>
        </w:rPr>
        <w:t>Criteria Are Fixed at the Prior Gate</w:t>
      </w:r>
    </w:p>
    <w:p>
      <w:pPr>
        <w:spacing w:after="120"/>
      </w:pPr>
      <w:r>
        <w:rPr>
          <w:b w:val="0"/>
          <w:i w:val="0"/>
          <w:sz w:val="20"/>
        </w:rPr>
        <w:t>Part II — Criteria by Gate</w:t>
      </w:r>
    </w:p>
    <w:p>
      <w:pPr>
        <w:pStyle w:val="ListNumber"/>
        <w:spacing w:after="60"/>
      </w:pPr>
      <w:r>
        <w:rPr>
          <w:b w:val="0"/>
          <w:i w:val="0"/>
          <w:sz w:val="20"/>
        </w:rPr>
        <w:t>Gate 0 — Concept Screening</w:t>
      </w:r>
    </w:p>
    <w:p>
      <w:pPr>
        <w:pStyle w:val="ListNumber"/>
        <w:spacing w:after="60"/>
      </w:pPr>
      <w:r>
        <w:rPr>
          <w:b w:val="0"/>
          <w:i w:val="0"/>
          <w:sz w:val="20"/>
        </w:rPr>
        <w:t>Gate 1 — Business Case</w:t>
      </w:r>
    </w:p>
    <w:p>
      <w:pPr>
        <w:pStyle w:val="ListNumber"/>
        <w:spacing w:after="60"/>
      </w:pPr>
      <w:r>
        <w:rPr>
          <w:b w:val="0"/>
          <w:i w:val="0"/>
          <w:sz w:val="20"/>
        </w:rPr>
        <w:t>Gate 2 — Development Complete &amp; Filing Readiness</w:t>
      </w:r>
    </w:p>
    <w:p>
      <w:pPr>
        <w:pStyle w:val="ListNumber"/>
        <w:spacing w:after="60"/>
      </w:pPr>
      <w:r>
        <w:rPr>
          <w:b w:val="0"/>
          <w:i w:val="0"/>
          <w:sz w:val="20"/>
        </w:rPr>
        <w:t>Gate 3 — Validation &amp; Filing Approval</w:t>
      </w:r>
    </w:p>
    <w:p>
      <w:pPr>
        <w:pStyle w:val="ListNumber"/>
        <w:spacing w:after="60"/>
      </w:pPr>
      <w:r>
        <w:rPr>
          <w:b w:val="0"/>
          <w:i w:val="0"/>
          <w:sz w:val="20"/>
        </w:rPr>
        <w:t>Gate 4 — Launch Readiness</w:t>
      </w:r>
    </w:p>
    <w:p>
      <w:pPr>
        <w:pStyle w:val="ListNumber"/>
        <w:spacing w:after="60"/>
      </w:pPr>
      <w:r>
        <w:rPr>
          <w:b w:val="0"/>
          <w:i w:val="0"/>
          <w:sz w:val="20"/>
        </w:rPr>
        <w:t>Gate 5 — Post-Launch Review</w:t>
      </w:r>
    </w:p>
    <w:p>
      <w:pPr>
        <w:spacing w:after="120"/>
      </w:pPr>
      <w:r>
        <w:rPr>
          <w:b w:val="0"/>
          <w:i w:val="0"/>
          <w:sz w:val="20"/>
        </w:rPr>
        <w:t>Part III — The Record</w:t>
      </w:r>
    </w:p>
    <w:p>
      <w:pPr>
        <w:pStyle w:val="ListNumber"/>
        <w:spacing w:after="60"/>
      </w:pPr>
      <w:r>
        <w:rPr>
          <w:b w:val="0"/>
          <w:i w:val="0"/>
          <w:sz w:val="20"/>
        </w:rPr>
        <w:t>Scored Record — Gates Held to Date</w:t>
      </w:r>
    </w:p>
    <w:p>
      <w:pPr>
        <w:pStyle w:val="ListNumber"/>
        <w:spacing w:after="60"/>
      </w:pPr>
      <w:r>
        <w:rPr>
          <w:b w:val="0"/>
          <w:i w:val="0"/>
          <w:sz w:val="20"/>
        </w:rPr>
        <w:t>Why the Gate 1 Recycle Was Not a Low Score</w:t>
      </w:r>
    </w:p>
    <w:p>
      <w:pPr>
        <w:pStyle w:val="ListNumber"/>
        <w:spacing w:after="60"/>
      </w:pPr>
      <w:r>
        <w:rPr>
          <w:b w:val="0"/>
          <w:i w:val="0"/>
          <w:sz w:val="20"/>
        </w:rPr>
        <w:t>Document Control</w:t>
      </w:r>
    </w:p>
    <w:p>
      <w:pPr>
        <w:spacing w:before="360"/>
      </w:pPr>
      <w:r>
        <w:rPr>
          <w:b/>
          <w:i w:val="0"/>
          <w:color w:val="1E5945"/>
          <w:sz w:val="22"/>
        </w:rPr>
        <w:t>Part I — The Assessment Method</w:t>
      </w:r>
    </w:p>
    <w:p>
      <w:pPr>
        <w:spacing w:before="280" w:after="80"/>
      </w:pPr>
      <w:r>
        <w:rPr>
          <w:b/>
          <w:i w:val="0"/>
          <w:color w:val="14352A"/>
          <w:sz w:val="28"/>
        </w:rPr>
        <w:t>1. Purpose &amp; Relationship to the Governance Model</w:t>
      </w:r>
    </w:p>
    <w:p>
      <w:pPr>
        <w:spacing w:after="120"/>
      </w:pPr>
      <w:r>
        <w:rPr>
          <w:b w:val="0"/>
          <w:i w:val="0"/>
          <w:sz w:val="20"/>
        </w:rPr>
        <w:t>Two documents govern gate decisions on this program and they do different work. The Governance Model defines the Board, its authority and its limits, the outcomes available, quorum and voting, and the protocols for recycling and cancelling. This framework defines the questions the Board answers and the standard of proof it requires before answering them.</w:t>
      </w:r>
    </w:p>
    <w:p>
      <w:pPr>
        <w:spacing w:after="120"/>
      </w:pPr>
      <w:r>
        <w:rPr>
          <w:b w:val="0"/>
          <w:i w:val="0"/>
          <w:sz w:val="20"/>
        </w:rPr>
        <w:t>The separation matters in practice. Authority questions change rarely; assessment criteria change at every gate, because what you need to know about a product at concept screening is not what you need to know about it eight weeks before it goes on sale. Holding them in one document would mean revising the constitution every time the criteria moved.</w:t>
      </w:r>
    </w:p>
    <w:p>
      <w:pPr>
        <w:spacing w:before="280" w:after="80"/>
      </w:pPr>
      <w:r>
        <w:rPr>
          <w:b/>
          <w:i w:val="0"/>
          <w:color w:val="14352A"/>
          <w:sz w:val="28"/>
        </w:rPr>
        <w:t>2. The Two-Tier Test — Must-Meet and Should-Meet</w:t>
      </w:r>
    </w:p>
    <w:p>
      <w:pPr>
        <w:spacing w:after="120"/>
      </w:pPr>
      <w:r>
        <w:rPr>
          <w:b w:val="0"/>
          <w:i w:val="0"/>
          <w:sz w:val="20"/>
        </w:rPr>
        <w:t>Every gate applies two tiers in sequence. The first is binary and the second is scored. The order is not negotiable: a package that fails the first tier is not scored at all, because a weighted average is an excellent way to bury a disqualifying fact under five satisfactory ones.</w:t>
      </w:r>
    </w:p>
    <w:p>
      <w:pPr>
        <w:spacing w:before="200" w:after="80"/>
      </w:pPr>
      <w:r>
        <w:rPr>
          <w:b/>
          <w:i w:val="0"/>
          <w:color w:val="1B2130"/>
          <w:sz w:val="21"/>
        </w:rPr>
        <w:t>Tier 1 — Must-Meet (knockout, binary, unweighted)</w:t>
      </w:r>
    </w:p>
    <w:p>
      <w:pPr>
        <w:spacing w:after="120"/>
      </w:pPr>
      <w:r>
        <w:rPr>
          <w:b w:val="0"/>
          <w:i w:val="0"/>
          <w:sz w:val="20"/>
        </w:rPr>
        <w:t xml:space="preserve">Each must-meet criterion is answered </w:t>
      </w:r>
      <w:r>
        <w:rPr>
          <w:b/>
          <w:i w:val="0"/>
          <w:sz w:val="20"/>
        </w:rPr>
        <w:t>yes</w:t>
      </w:r>
      <w:r>
        <w:rPr>
          <w:b w:val="0"/>
          <w:i w:val="0"/>
          <w:sz w:val="20"/>
        </w:rPr>
        <w:t xml:space="preserve"> or </w:t>
      </w:r>
      <w:r>
        <w:rPr>
          <w:b/>
          <w:i w:val="0"/>
          <w:sz w:val="20"/>
        </w:rPr>
        <w:t>no</w:t>
      </w:r>
      <w:r>
        <w:rPr>
          <w:b w:val="0"/>
          <w:i w:val="0"/>
          <w:sz w:val="20"/>
        </w:rPr>
        <w:t xml:space="preserve">. A single </w:t>
      </w:r>
      <w:r>
        <w:rPr>
          <w:b/>
          <w:i w:val="0"/>
          <w:sz w:val="20"/>
        </w:rPr>
        <w:t>no</w:t>
      </w:r>
      <w:r>
        <w:rPr>
          <w:b w:val="0"/>
          <w:i w:val="0"/>
          <w:sz w:val="20"/>
        </w:rPr>
        <w:t xml:space="preserve"> removes GO and GO WITH CONDITIONS from the outcomes available at that gate, whatever the Tier 2 score would have been. The Board's remaining choices are RECYCLE, HOLD or CANCEL.</w:t>
      </w:r>
    </w:p>
    <w:p>
      <w:pPr>
        <w:spacing w:after="120"/>
      </w:pPr>
      <w:r>
        <w:rPr>
          <w:b w:val="0"/>
          <w:i w:val="0"/>
          <w:sz w:val="20"/>
        </w:rPr>
        <w:t>Must-meet criteria are deliberately few and deliberately absolute. They exist to capture the conditions under which continuing would be indefensible rather than merely unattractive — a product that cannot lawfully be sold, a price the capital cannot support, a guarantee that cannot be hedged.</w:t>
      </w:r>
    </w:p>
    <w:p>
      <w:pPr>
        <w:spacing w:before="200" w:after="80"/>
      </w:pPr>
      <w:r>
        <w:rPr>
          <w:b/>
          <w:i w:val="0"/>
          <w:color w:val="1B2130"/>
          <w:sz w:val="21"/>
        </w:rPr>
        <w:t>Tier 2 — Should-Meet (weighted, scored 1–5)</w:t>
      </w:r>
    </w:p>
    <w:p>
      <w:pPr>
        <w:spacing w:after="120"/>
      </w:pPr>
      <w:r>
        <w:rPr>
          <w:b w:val="0"/>
          <w:i w:val="0"/>
          <w:sz w:val="20"/>
        </w:rPr>
        <w:t>Should-meet criteria capture attractiveness rather than admissibility. Each is scored 1 to 5 and weighted; the weights total 100% and are set for each gate in advance under §6. Weightings shift across the program's life: early gates weight market and strategic questions most heavily, later gates weight execution and operational readiness, because by Gate 4 the market question has already been answered and the open risk is whether the organisation can actually deliver.</w:t>
      </w:r>
    </w:p>
    <w:p>
      <w:pPr>
        <w:spacing w:before="280" w:after="80"/>
      </w:pPr>
      <w:r>
        <w:rPr>
          <w:b/>
          <w:i w:val="0"/>
          <w:color w:val="14352A"/>
          <w:sz w:val="28"/>
        </w:rPr>
        <w:t>3. The Scoring Scale</w:t>
      </w:r>
    </w:p>
    <w:p>
      <w:pPr>
        <w:spacing w:after="120"/>
      </w:pPr>
      <w:r>
        <w:rPr>
          <w:b w:val="0"/>
          <w:i/>
          <w:sz w:val="20"/>
        </w:rPr>
        <w:t xml:space="preserve">Terminology: this programme labels the gate outcomes GO, CANCEL, HOLD, RECYCLE and GO WITH CONDITIONS. Robert G. Cooper's Stage-Gate framework uses a blunter word where this says CANCEL — same decision, same authority. See the </w:t>
      </w:r>
      <w:r>
        <w:rPr>
          <w:b w:val="0"/>
          <w:i/>
          <w:sz w:val="20"/>
        </w:rPr>
        <w:t>Governance Model</w:t>
      </w:r>
      <w:r>
        <w:rPr>
          <w:b w:val="0"/>
          <w:i/>
          <w:sz w:val="20"/>
        </w:rPr>
        <w:t xml:space="preserve"> §9.</w:t>
      </w:r>
    </w:p>
    <w:tbl>
      <w:tblPr>
        <w:tblStyle w:val="TableGrid"/>
        <w:tblW w:type="auto" w:w="0"/>
        <w:jc w:val="center"/>
        <w:tblLook w:firstColumn="1" w:firstRow="1" w:lastColumn="0" w:lastRow="0" w:noHBand="0" w:noVBand="1" w:val="04A0"/>
      </w:tblPr>
      <w:tblGrid>
        <w:gridCol w:w="3216"/>
        <w:gridCol w:w="3216"/>
        <w:gridCol w:w="3216"/>
      </w:tblGrid>
      <w:tr>
        <w:tc>
          <w:tcPr>
            <w:tcW w:type="dxa" w:w="3216"/>
            <w:shd w:val="clear" w:fill="14352A"/>
          </w:tcPr>
          <w:p>
            <w:pPr>
              <w:spacing w:before="40" w:after="40"/>
            </w:pPr>
            <w:r>
              <w:rPr>
                <w:b/>
                <w:i w:val="0"/>
                <w:color w:val="FFFFFF"/>
                <w:sz w:val="17"/>
              </w:rPr>
              <w:t>Score</w:t>
            </w:r>
          </w:p>
        </w:tc>
        <w:tc>
          <w:tcPr>
            <w:tcW w:type="dxa" w:w="3216"/>
            <w:shd w:val="clear" w:fill="14352A"/>
          </w:tcPr>
          <w:p>
            <w:pPr>
              <w:spacing w:before="40" w:after="40"/>
            </w:pPr>
            <w:r>
              <w:rPr>
                <w:b/>
                <w:i w:val="0"/>
                <w:color w:val="FFFFFF"/>
                <w:sz w:val="17"/>
              </w:rPr>
              <w:t>Meaning</w:t>
            </w:r>
          </w:p>
        </w:tc>
        <w:tc>
          <w:tcPr>
            <w:tcW w:type="dxa" w:w="3216"/>
            <w:shd w:val="clear" w:fill="14352A"/>
          </w:tcPr>
          <w:p>
            <w:pPr>
              <w:spacing w:before="40" w:after="40"/>
            </w:pPr>
            <w:r>
              <w:rPr>
                <w:b/>
                <w:i w:val="0"/>
                <w:color w:val="FFFFFF"/>
                <w:sz w:val="17"/>
              </w:rPr>
              <w:t>What it implies for the decision</w:t>
            </w:r>
          </w:p>
        </w:tc>
      </w:tr>
      <w:tr>
        <w:tc>
          <w:tcPr>
            <w:tcW w:type="dxa" w:w="3216"/>
          </w:tcPr>
          <w:p>
            <w:pPr>
              <w:spacing w:before="40" w:after="40"/>
            </w:pPr>
            <w:r>
              <w:rPr>
                <w:b/>
                <w:i w:val="0"/>
                <w:sz w:val="17"/>
              </w:rPr>
              <w:t>5</w:t>
            </w:r>
          </w:p>
        </w:tc>
        <w:tc>
          <w:tcPr>
            <w:tcW w:type="dxa" w:w="3216"/>
          </w:tcPr>
          <w:p>
            <w:pPr>
              <w:spacing w:before="40" w:after="40"/>
            </w:pPr>
            <w:r>
              <w:rPr>
                <w:b w:val="0"/>
                <w:i w:val="0"/>
                <w:sz w:val="17"/>
              </w:rPr>
              <w:t>Strong — materially better than the comparable alternative, evidenced</w:t>
            </w:r>
          </w:p>
        </w:tc>
        <w:tc>
          <w:tcPr>
            <w:tcW w:type="dxa" w:w="3216"/>
          </w:tcPr>
          <w:p>
            <w:pPr>
              <w:spacing w:before="40" w:after="40"/>
            </w:pPr>
            <w:r>
              <w:rPr>
                <w:b w:val="0"/>
                <w:i w:val="0"/>
                <w:sz w:val="17"/>
              </w:rPr>
              <w:t>Supports GO</w:t>
            </w:r>
          </w:p>
        </w:tc>
      </w:tr>
      <w:tr>
        <w:tc>
          <w:tcPr>
            <w:tcW w:type="dxa" w:w="3216"/>
          </w:tcPr>
          <w:p>
            <w:pPr>
              <w:spacing w:before="40" w:after="40"/>
            </w:pPr>
            <w:r>
              <w:rPr>
                <w:b/>
                <w:i w:val="0"/>
                <w:sz w:val="17"/>
              </w:rPr>
              <w:t>4</w:t>
            </w:r>
          </w:p>
        </w:tc>
        <w:tc>
          <w:tcPr>
            <w:tcW w:type="dxa" w:w="3216"/>
          </w:tcPr>
          <w:p>
            <w:pPr>
              <w:spacing w:before="40" w:after="40"/>
            </w:pPr>
            <w:r>
              <w:rPr>
                <w:b w:val="0"/>
                <w:i w:val="0"/>
                <w:sz w:val="17"/>
              </w:rPr>
              <w:t>Good — meets the standard set at the prior gate, evidenced</w:t>
            </w:r>
          </w:p>
        </w:tc>
        <w:tc>
          <w:tcPr>
            <w:tcW w:type="dxa" w:w="3216"/>
          </w:tcPr>
          <w:p>
            <w:pPr>
              <w:spacing w:before="40" w:after="40"/>
            </w:pPr>
            <w:r>
              <w:rPr>
                <w:b w:val="0"/>
                <w:i w:val="0"/>
                <w:sz w:val="17"/>
              </w:rPr>
              <w:t>Supports GO</w:t>
            </w:r>
          </w:p>
        </w:tc>
      </w:tr>
      <w:tr>
        <w:tc>
          <w:tcPr>
            <w:tcW w:type="dxa" w:w="3216"/>
          </w:tcPr>
          <w:p>
            <w:pPr>
              <w:spacing w:before="40" w:after="40"/>
            </w:pPr>
            <w:r>
              <w:rPr>
                <w:b/>
                <w:i w:val="0"/>
                <w:sz w:val="17"/>
              </w:rPr>
              <w:t>3</w:t>
            </w:r>
          </w:p>
        </w:tc>
        <w:tc>
          <w:tcPr>
            <w:tcW w:type="dxa" w:w="3216"/>
          </w:tcPr>
          <w:p>
            <w:pPr>
              <w:spacing w:before="40" w:after="40"/>
            </w:pPr>
            <w:r>
              <w:rPr>
                <w:b w:val="0"/>
                <w:i w:val="0"/>
                <w:sz w:val="17"/>
              </w:rPr>
              <w:t>Adequate — acceptable but with a known weakness that is being managed</w:t>
            </w:r>
          </w:p>
        </w:tc>
        <w:tc>
          <w:tcPr>
            <w:tcW w:type="dxa" w:w="3216"/>
          </w:tcPr>
          <w:p>
            <w:pPr>
              <w:spacing w:before="40" w:after="40"/>
            </w:pPr>
            <w:r>
              <w:rPr>
                <w:b w:val="0"/>
                <w:i w:val="0"/>
                <w:sz w:val="17"/>
              </w:rPr>
              <w:t>Supports continuation, usually with a condition attached</w:t>
            </w:r>
          </w:p>
        </w:tc>
      </w:tr>
      <w:tr>
        <w:tc>
          <w:tcPr>
            <w:tcW w:type="dxa" w:w="3216"/>
          </w:tcPr>
          <w:p>
            <w:pPr>
              <w:spacing w:before="40" w:after="40"/>
            </w:pPr>
            <w:r>
              <w:rPr>
                <w:b/>
                <w:i w:val="0"/>
                <w:sz w:val="17"/>
              </w:rPr>
              <w:t>2</w:t>
            </w:r>
          </w:p>
        </w:tc>
        <w:tc>
          <w:tcPr>
            <w:tcW w:type="dxa" w:w="3216"/>
          </w:tcPr>
          <w:p>
            <w:pPr>
              <w:spacing w:before="40" w:after="40"/>
            </w:pPr>
            <w:r>
              <w:rPr>
                <w:b w:val="0"/>
                <w:i w:val="0"/>
                <w:sz w:val="17"/>
              </w:rPr>
              <w:t>Weak — below the standard set at the prior gate, with no credible remediation</w:t>
            </w:r>
          </w:p>
        </w:tc>
        <w:tc>
          <w:tcPr>
            <w:tcW w:type="dxa" w:w="3216"/>
          </w:tcPr>
          <w:p>
            <w:pPr>
              <w:spacing w:before="40" w:after="40"/>
            </w:pPr>
            <w:r>
              <w:rPr>
                <w:b w:val="0"/>
                <w:i w:val="0"/>
                <w:sz w:val="17"/>
              </w:rPr>
              <w:t>Argues against continuation</w:t>
            </w:r>
          </w:p>
        </w:tc>
      </w:tr>
      <w:tr>
        <w:tc>
          <w:tcPr>
            <w:tcW w:type="dxa" w:w="3216"/>
          </w:tcPr>
          <w:p>
            <w:pPr>
              <w:spacing w:before="40" w:after="40"/>
            </w:pPr>
            <w:r>
              <w:rPr>
                <w:b/>
                <w:i w:val="0"/>
                <w:sz w:val="17"/>
              </w:rPr>
              <w:t>1</w:t>
            </w:r>
          </w:p>
        </w:tc>
        <w:tc>
          <w:tcPr>
            <w:tcW w:type="dxa" w:w="3216"/>
          </w:tcPr>
          <w:p>
            <w:pPr>
              <w:spacing w:before="40" w:after="40"/>
            </w:pPr>
            <w:r>
              <w:rPr>
                <w:b w:val="0"/>
                <w:i w:val="0"/>
                <w:sz w:val="17"/>
              </w:rPr>
              <w:t>Unacceptable</w:t>
            </w:r>
          </w:p>
        </w:tc>
        <w:tc>
          <w:tcPr>
            <w:tcW w:type="dxa" w:w="3216"/>
          </w:tcPr>
          <w:p>
            <w:pPr>
              <w:spacing w:before="40" w:after="40"/>
            </w:pPr>
            <w:r>
              <w:rPr>
                <w:b w:val="0"/>
                <w:i w:val="0"/>
                <w:sz w:val="17"/>
              </w:rPr>
              <w:t>Argues for cancellation</w:t>
            </w:r>
          </w:p>
        </w:tc>
      </w:tr>
      <w:tr>
        <w:tc>
          <w:tcPr>
            <w:tcW w:type="dxa" w:w="3216"/>
          </w:tcPr>
          <w:p>
            <w:pPr>
              <w:spacing w:before="40" w:after="40"/>
            </w:pPr>
            <w:r>
              <w:rPr>
                <w:b/>
                <w:i w:val="0"/>
                <w:sz w:val="17"/>
              </w:rPr>
              <w:t>U</w:t>
            </w:r>
          </w:p>
        </w:tc>
        <w:tc>
          <w:tcPr>
            <w:tcW w:type="dxa" w:w="3216"/>
          </w:tcPr>
          <w:p>
            <w:pPr>
              <w:spacing w:before="40" w:after="40"/>
            </w:pPr>
            <w:r>
              <w:rPr>
                <w:b/>
                <w:i w:val="0"/>
                <w:sz w:val="17"/>
              </w:rPr>
              <w:t>Unscoreable</w:t>
            </w:r>
            <w:r>
              <w:rPr>
                <w:b w:val="0"/>
                <w:i w:val="0"/>
                <w:sz w:val="17"/>
              </w:rPr>
              <w:t xml:space="preserve"> — the evidence to score this criterion is absent or not credible</w:t>
            </w:r>
          </w:p>
        </w:tc>
        <w:tc>
          <w:tcPr>
            <w:tcW w:type="dxa" w:w="3216"/>
          </w:tcPr>
          <w:p>
            <w:pPr>
              <w:spacing w:before="40" w:after="40"/>
            </w:pPr>
            <w:r>
              <w:rPr>
                <w:b/>
                <w:i w:val="0"/>
                <w:sz w:val="17"/>
              </w:rPr>
              <w:t>Automatic recycle recommendation.</w:t>
            </w:r>
            <w:r>
              <w:rPr>
                <w:b w:val="0"/>
                <w:i w:val="0"/>
                <w:sz w:val="17"/>
              </w:rPr>
              <w:t xml:space="preserve"> See §4 and §14</w:t>
            </w:r>
          </w:p>
        </w:tc>
      </w:tr>
    </w:tbl>
    <w:p/>
    <w:tbl>
      <w:tblPr>
        <w:tblStyle w:val="TableGrid"/>
        <w:tblW w:type="auto" w:w="0"/>
        <w:tblLook w:firstColumn="1" w:firstRow="1" w:lastColumn="0" w:lastRow="0" w:noHBand="0" w:noVBand="1" w:val="04A0"/>
      </w:tblPr>
      <w:tblGrid>
        <w:gridCol w:w="9648"/>
      </w:tblGrid>
      <w:tr>
        <w:tc>
          <w:tcPr>
            <w:tcW w:type="dxa" w:w="9648"/>
            <w:shd w:val="clear" w:fill="E8F1ED"/>
          </w:tcPr>
          <w:p>
            <w:pPr>
              <w:spacing w:after="120"/>
            </w:pPr>
            <w:r>
              <w:rPr>
                <w:b/>
                <w:i w:val="0"/>
                <w:sz w:val="20"/>
              </w:rPr>
              <w:t xml:space="preserve">The </w:t>
            </w:r>
            <w:r>
              <w:rPr>
                <w:b/>
                <w:i/>
                <w:sz w:val="20"/>
              </w:rPr>
              <w:t>U</w:t>
            </w:r>
            <w:r>
              <w:rPr>
                <w:b/>
                <w:i w:val="0"/>
                <w:sz w:val="20"/>
              </w:rPr>
              <w:t xml:space="preserve"> is the most important value on this scale.</w:t>
            </w:r>
            <w:r>
              <w:rPr>
                <w:b w:val="0"/>
                <w:i w:val="0"/>
                <w:sz w:val="20"/>
              </w:rPr>
              <w:t xml:space="preserve"> Without it, an assessor faced with missing evidence has to invent a number, and the number that gets invented is almost always a 3 — which reads as "adequate" and passes quietly into the weighted average. Recording </w:t>
            </w:r>
            <w:r>
              <w:rPr>
                <w:b/>
                <w:i w:val="0"/>
                <w:sz w:val="20"/>
              </w:rPr>
              <w:t>U</w:t>
            </w:r>
            <w:r>
              <w:rPr>
                <w:b w:val="0"/>
                <w:i w:val="0"/>
                <w:sz w:val="20"/>
              </w:rPr>
              <w:t xml:space="preserve"> forces the gap to surface as a gap. The Gate 1 recycle on this program was driven by two U ratings, not by a low score. </w:t>
            </w:r>
          </w:p>
        </w:tc>
      </w:tr>
    </w:tbl>
    <w:p/>
    <w:p>
      <w:pPr>
        <w:spacing w:before="280" w:after="80"/>
      </w:pPr>
      <w:r>
        <w:rPr>
          <w:b/>
          <w:i w:val="0"/>
          <w:color w:val="14352A"/>
          <w:sz w:val="28"/>
        </w:rPr>
        <w:t>4. The Evidence Standard</w:t>
      </w:r>
    </w:p>
    <w:p>
      <w:pPr>
        <w:spacing w:after="120"/>
      </w:pPr>
      <w:r>
        <w:rPr>
          <w:b w:val="0"/>
          <w:i w:val="0"/>
          <w:sz w:val="20"/>
        </w:rPr>
        <w:t>A criterion is scoreable only where it rests on evidence of the following kinds. This list is restrictive by design.</w:t>
      </w:r>
    </w:p>
    <w:tbl>
      <w:tblPr>
        <w:tblStyle w:val="TableGrid"/>
        <w:tblW w:type="auto" w:w="0"/>
        <w:jc w:val="center"/>
        <w:tblLook w:firstColumn="1" w:firstRow="1" w:lastColumn="0" w:lastRow="0" w:noHBand="0" w:noVBand="1" w:val="04A0"/>
      </w:tblPr>
      <w:tblGrid>
        <w:gridCol w:w="4824"/>
        <w:gridCol w:w="4824"/>
      </w:tblGrid>
      <w:tr>
        <w:tc>
          <w:tcPr>
            <w:tcW w:type="dxa" w:w="4824"/>
            <w:shd w:val="clear" w:fill="14352A"/>
          </w:tcPr>
          <w:p>
            <w:pPr>
              <w:spacing w:before="40" w:after="40"/>
            </w:pPr>
            <w:r>
              <w:rPr>
                <w:b/>
                <w:i w:val="0"/>
                <w:color w:val="FFFFFF"/>
                <w:sz w:val="17"/>
              </w:rPr>
              <w:t>Counts as evidence</w:t>
            </w:r>
          </w:p>
        </w:tc>
        <w:tc>
          <w:tcPr>
            <w:tcW w:type="dxa" w:w="4824"/>
            <w:shd w:val="clear" w:fill="14352A"/>
          </w:tcPr>
          <w:p>
            <w:pPr>
              <w:spacing w:before="40" w:after="40"/>
            </w:pPr>
            <w:r>
              <w:rPr>
                <w:b/>
                <w:i w:val="0"/>
                <w:color w:val="FFFFFF"/>
                <w:sz w:val="17"/>
              </w:rPr>
              <w:t>Does not count</w:t>
            </w:r>
          </w:p>
        </w:tc>
      </w:tr>
      <w:tr>
        <w:tc>
          <w:tcPr>
            <w:tcW w:type="dxa" w:w="4824"/>
          </w:tcPr>
          <w:p>
            <w:pPr>
              <w:spacing w:before="40" w:after="40"/>
            </w:pPr>
            <w:r>
              <w:rPr>
                <w:b w:val="0"/>
                <w:i w:val="0"/>
                <w:sz w:val="17"/>
              </w:rPr>
              <w:t>A written commitment from an accountable party (a signed channel commitment, a vendor statement of work, an executed term sheet)</w:t>
            </w:r>
          </w:p>
        </w:tc>
        <w:tc>
          <w:tcPr>
            <w:tcW w:type="dxa" w:w="4824"/>
          </w:tcPr>
          <w:p>
            <w:pPr>
              <w:spacing w:before="40" w:after="40"/>
            </w:pPr>
            <w:r>
              <w:rPr>
                <w:b w:val="0"/>
                <w:i w:val="0"/>
                <w:sz w:val="17"/>
              </w:rPr>
              <w:t>A verbal indication, a meeting note, or a relationship manager's confidence</w:t>
            </w:r>
          </w:p>
        </w:tc>
      </w:tr>
      <w:tr>
        <w:tc>
          <w:tcPr>
            <w:tcW w:type="dxa" w:w="4824"/>
          </w:tcPr>
          <w:p>
            <w:pPr>
              <w:spacing w:before="40" w:after="40"/>
            </w:pPr>
            <w:r>
              <w:rPr>
                <w:b w:val="0"/>
                <w:i w:val="0"/>
                <w:sz w:val="17"/>
              </w:rPr>
              <w:t>An actuarial or compliance opinion, signed, with its assumptions stated</w:t>
            </w:r>
          </w:p>
        </w:tc>
        <w:tc>
          <w:tcPr>
            <w:tcW w:type="dxa" w:w="4824"/>
          </w:tcPr>
          <w:p>
            <w:pPr>
              <w:spacing w:before="40" w:after="40"/>
            </w:pPr>
            <w:r>
              <w:rPr>
                <w:b w:val="0"/>
                <w:i w:val="0"/>
                <w:sz w:val="17"/>
              </w:rPr>
              <w:t>An opinion in preparation, or one whose assumptions are not disclosed</w:t>
            </w:r>
          </w:p>
        </w:tc>
      </w:tr>
      <w:tr>
        <w:tc>
          <w:tcPr>
            <w:tcW w:type="dxa" w:w="4824"/>
          </w:tcPr>
          <w:p>
            <w:pPr>
              <w:spacing w:before="40" w:after="40"/>
            </w:pPr>
            <w:r>
              <w:rPr>
                <w:b w:val="0"/>
                <w:i w:val="0"/>
                <w:sz w:val="17"/>
              </w:rPr>
              <w:t>A model output whose inputs are current and whose version is identified</w:t>
            </w:r>
          </w:p>
        </w:tc>
        <w:tc>
          <w:tcPr>
            <w:tcW w:type="dxa" w:w="4824"/>
          </w:tcPr>
          <w:p>
            <w:pPr>
              <w:spacing w:before="40" w:after="40"/>
            </w:pPr>
            <w:r>
              <w:rPr>
                <w:b w:val="0"/>
                <w:i w:val="0"/>
                <w:sz w:val="17"/>
              </w:rPr>
              <w:t>A model output whose inputs have been superseded — see §14</w:t>
            </w:r>
          </w:p>
        </w:tc>
      </w:tr>
      <w:tr>
        <w:tc>
          <w:tcPr>
            <w:tcW w:type="dxa" w:w="4824"/>
          </w:tcPr>
          <w:p>
            <w:pPr>
              <w:spacing w:before="40" w:after="40"/>
            </w:pPr>
            <w:r>
              <w:rPr>
                <w:b w:val="0"/>
                <w:i w:val="0"/>
                <w:sz w:val="17"/>
              </w:rPr>
              <w:t>Observed data from a comparable in-force product or a completed pilot</w:t>
            </w:r>
          </w:p>
        </w:tc>
        <w:tc>
          <w:tcPr>
            <w:tcW w:type="dxa" w:w="4824"/>
          </w:tcPr>
          <w:p>
            <w:pPr>
              <w:spacing w:before="40" w:after="40"/>
            </w:pPr>
            <w:r>
              <w:rPr>
                <w:b w:val="0"/>
                <w:i w:val="0"/>
                <w:sz w:val="17"/>
              </w:rPr>
              <w:t>An analogue drawn from a materially different product or market</w:t>
            </w:r>
          </w:p>
        </w:tc>
      </w:tr>
      <w:tr>
        <w:tc>
          <w:tcPr>
            <w:tcW w:type="dxa" w:w="4824"/>
          </w:tcPr>
          <w:p>
            <w:pPr>
              <w:spacing w:before="40" w:after="40"/>
            </w:pPr>
            <w:r>
              <w:rPr>
                <w:b w:val="0"/>
                <w:i w:val="0"/>
                <w:sz w:val="17"/>
              </w:rPr>
              <w:t>A regulator's written determination or published standard</w:t>
            </w:r>
          </w:p>
        </w:tc>
        <w:tc>
          <w:tcPr>
            <w:tcW w:type="dxa" w:w="4824"/>
          </w:tcPr>
          <w:p>
            <w:pPr>
              <w:spacing w:before="40" w:after="40"/>
            </w:pPr>
            <w:r>
              <w:rPr>
                <w:b w:val="0"/>
                <w:i w:val="0"/>
                <w:sz w:val="17"/>
              </w:rPr>
              <w:t>An expectation of how a regulator will respond</w:t>
            </w:r>
          </w:p>
        </w:tc>
      </w:tr>
    </w:tbl>
    <w:p/>
    <w:p>
      <w:pPr>
        <w:spacing w:after="120"/>
      </w:pPr>
      <w:r>
        <w:rPr>
          <w:b w:val="0"/>
          <w:i w:val="0"/>
          <w:sz w:val="20"/>
        </w:rPr>
        <w:t>Where evidence is of the right kind but its currency is in doubt, the assessor records the date of the underlying input alongside the score. A score supported by a nine-month-old capital charge is not the same score as one supported by this quarter's.</w:t>
      </w:r>
    </w:p>
    <w:p>
      <w:pPr>
        <w:spacing w:before="280" w:after="80"/>
      </w:pPr>
      <w:r>
        <w:rPr>
          <w:b/>
          <w:i w:val="0"/>
          <w:color w:val="14352A"/>
          <w:sz w:val="28"/>
        </w:rPr>
        <w:t>5. Score Bands &amp; Their Relationship to Outcomes</w:t>
      </w:r>
    </w:p>
    <w:p>
      <w:pPr>
        <w:spacing w:after="120"/>
      </w:pPr>
      <w:r>
        <w:rPr>
          <w:b w:val="0"/>
          <w:i w:val="0"/>
          <w:sz w:val="20"/>
        </w:rPr>
        <w:t>Bands indicate which outcomes the evidence supports. They do not select one.</w:t>
      </w:r>
    </w:p>
    <w:p>
      <w:pPr>
        <w:spacing w:after="120"/>
      </w:pPr>
      <w:r>
        <w:rPr>
          <w:b w:val="0"/>
          <w:i w:val="0"/>
          <w:sz w:val="20"/>
        </w:rPr>
        <w:t>≥ 3.50</w:t>
      </w:r>
      <w:r>
        <w:rPr>
          <w:b w:val="0"/>
          <w:i w:val="0"/>
          <w:sz w:val="20"/>
        </w:rPr>
        <w:t xml:space="preserve">All must-meet passed. Package supports </w:t>
      </w:r>
      <w:r>
        <w:rPr>
          <w:b/>
          <w:i w:val="0"/>
          <w:sz w:val="20"/>
        </w:rPr>
        <w:t>GO</w:t>
      </w:r>
      <w:r>
        <w:rPr>
          <w:b w:val="0"/>
          <w:i w:val="0"/>
          <w:sz w:val="20"/>
        </w:rPr>
        <w:t>.</w:t>
      </w:r>
    </w:p>
    <w:p>
      <w:pPr>
        <w:spacing w:after="120"/>
      </w:pPr>
      <w:r>
        <w:rPr>
          <w:b w:val="0"/>
          <w:i w:val="0"/>
          <w:sz w:val="20"/>
        </w:rPr>
        <w:t>3.00 – 3.49</w:t>
      </w:r>
      <w:r>
        <w:rPr>
          <w:b w:val="0"/>
          <w:i w:val="0"/>
          <w:sz w:val="20"/>
        </w:rPr>
        <w:t xml:space="preserve">Continuation supportable, but with identified weaknesses. Supports </w:t>
      </w:r>
      <w:r>
        <w:rPr>
          <w:b/>
          <w:i w:val="0"/>
          <w:sz w:val="20"/>
        </w:rPr>
        <w:t>GO WITH CONDITIONS</w:t>
      </w:r>
      <w:r>
        <w:rPr>
          <w:b w:val="0"/>
          <w:i w:val="0"/>
          <w:sz w:val="20"/>
        </w:rPr>
        <w:t>; each weakness scoring 3 or below should carry a condition.</w:t>
      </w:r>
    </w:p>
    <w:p>
      <w:pPr>
        <w:spacing w:after="120"/>
      </w:pPr>
      <w:r>
        <w:rPr>
          <w:b w:val="0"/>
          <w:i w:val="0"/>
          <w:sz w:val="20"/>
        </w:rPr>
        <w:t>2.50 – 2.99</w:t>
      </w:r>
      <w:r>
        <w:rPr>
          <w:b w:val="0"/>
          <w:i w:val="0"/>
          <w:sz w:val="20"/>
        </w:rPr>
        <w:t xml:space="preserve">Continuation not supportable on this evidence. Supports </w:t>
      </w:r>
      <w:r>
        <w:rPr>
          <w:b/>
          <w:i w:val="0"/>
          <w:sz w:val="20"/>
        </w:rPr>
        <w:t>RECYCLE</w:t>
      </w:r>
      <w:r>
        <w:rPr>
          <w:b w:val="0"/>
          <w:i w:val="0"/>
          <w:sz w:val="20"/>
        </w:rPr>
        <w:t xml:space="preserve">, or </w:t>
      </w:r>
      <w:r>
        <w:rPr>
          <w:b/>
          <w:i w:val="0"/>
          <w:sz w:val="20"/>
        </w:rPr>
        <w:t>HOLD</w:t>
      </w:r>
      <w:r>
        <w:rPr>
          <w:b w:val="0"/>
          <w:i w:val="0"/>
          <w:sz w:val="20"/>
        </w:rPr>
        <w:t xml:space="preserve"> where the cause is external.</w:t>
      </w:r>
    </w:p>
    <w:p>
      <w:pPr>
        <w:spacing w:after="120"/>
      </w:pPr>
      <w:r>
        <w:rPr>
          <w:b w:val="0"/>
          <w:i w:val="0"/>
          <w:sz w:val="20"/>
        </w:rPr>
        <w:t>&lt; 2.50</w:t>
      </w:r>
      <w:r>
        <w:rPr>
          <w:b w:val="0"/>
          <w:i w:val="0"/>
          <w:sz w:val="20"/>
        </w:rPr>
        <w:t xml:space="preserve">Supports a </w:t>
      </w:r>
      <w:r>
        <w:rPr>
          <w:b/>
          <w:i w:val="0"/>
          <w:sz w:val="20"/>
        </w:rPr>
        <w:t>CANCEL</w:t>
      </w:r>
      <w:r>
        <w:rPr>
          <w:b w:val="0"/>
          <w:i w:val="0"/>
          <w:sz w:val="20"/>
        </w:rPr>
        <w:t xml:space="preserve"> recommendation from the Chair.</w:t>
      </w:r>
    </w:p>
    <w:p>
      <w:pPr>
        <w:spacing w:before="200" w:after="80"/>
      </w:pPr>
      <w:r>
        <w:rPr>
          <w:b/>
          <w:i w:val="0"/>
          <w:color w:val="1B2130"/>
          <w:sz w:val="21"/>
        </w:rPr>
        <w:t>Overriding rules</w:t>
      </w:r>
    </w:p>
    <w:p>
      <w:pPr>
        <w:pStyle w:val="ListNumber"/>
        <w:spacing w:after="60"/>
      </w:pPr>
      <w:r>
        <w:rPr>
          <w:b/>
          <w:i w:val="0"/>
          <w:sz w:val="20"/>
        </w:rPr>
        <w:t>Any must-meet failed</w:t>
      </w:r>
      <w:r>
        <w:rPr>
          <w:b w:val="0"/>
          <w:i w:val="0"/>
          <w:sz w:val="20"/>
        </w:rPr>
        <w:t xml:space="preserve"> → GO and GO WITH CONDITIONS are unavailable regardless of the weighted score.</w:t>
      </w:r>
    </w:p>
    <w:p>
      <w:pPr>
        <w:pStyle w:val="ListNumber"/>
        <w:spacing w:after="60"/>
      </w:pPr>
      <w:r>
        <w:rPr>
          <w:b/>
          <w:i w:val="0"/>
          <w:sz w:val="20"/>
        </w:rPr>
        <w:t>Any criterion scored U</w:t>
      </w:r>
      <w:r>
        <w:rPr>
          <w:b w:val="0"/>
          <w:i w:val="0"/>
          <w:sz w:val="20"/>
        </w:rPr>
        <w:t xml:space="preserve"> → the Chair tables a RECYCLE recommendation. The Board may override, but the override and its reasons are recorded.</w:t>
      </w:r>
    </w:p>
    <w:p>
      <w:pPr>
        <w:pStyle w:val="ListNumber"/>
        <w:spacing w:after="60"/>
      </w:pPr>
      <w:r>
        <w:rPr>
          <w:b/>
          <w:i w:val="0"/>
          <w:sz w:val="20"/>
        </w:rPr>
        <w:t>A Board decision that departs from the band</w:t>
      </w:r>
      <w:r>
        <w:rPr>
          <w:b w:val="0"/>
          <w:i w:val="0"/>
          <w:sz w:val="20"/>
        </w:rPr>
        <w:t xml:space="preserve"> is permitted and is minuted with the reasons. Departures are reviewed at Gate 5 — a framework whose bands are routinely overridden is not describing how the organisation actually decides, and should be changed rather than ignored.</w:t>
      </w:r>
    </w:p>
    <w:p>
      <w:pPr>
        <w:spacing w:before="280" w:after="80"/>
      </w:pPr>
      <w:r>
        <w:rPr>
          <w:b/>
          <w:i w:val="0"/>
          <w:color w:val="14352A"/>
          <w:sz w:val="28"/>
        </w:rPr>
        <w:t>6. Criteria Are Fixed at the Prior Gate</w:t>
      </w:r>
    </w:p>
    <w:tbl>
      <w:tblPr>
        <w:tblStyle w:val="TableGrid"/>
        <w:tblW w:type="auto" w:w="0"/>
        <w:tblLook w:firstColumn="1" w:firstRow="1" w:lastColumn="0" w:lastRow="0" w:noHBand="0" w:noVBand="1" w:val="04A0"/>
      </w:tblPr>
      <w:tblGrid>
        <w:gridCol w:w="9648"/>
      </w:tblGrid>
      <w:tr>
        <w:tc>
          <w:tcPr>
            <w:tcW w:type="dxa" w:w="9648"/>
            <w:shd w:val="clear" w:fill="FDF3DF"/>
          </w:tcPr>
          <w:p>
            <w:pPr>
              <w:spacing w:after="120"/>
            </w:pPr>
            <w:r>
              <w:rPr>
                <w:b/>
                <w:i w:val="0"/>
                <w:sz w:val="20"/>
              </w:rPr>
              <w:t>The criteria and weights for Gate N are locked at Gate N−1</w:t>
            </w:r>
            <w:r>
              <w:rPr>
                <w:b w:val="0"/>
                <w:i w:val="0"/>
                <w:sz w:val="20"/>
              </w:rPr>
              <w:t xml:space="preserve">, recorded in that gate's minute, and may not be altered afterwards except by a Board decision that is itself minuted. </w:t>
            </w:r>
          </w:p>
        </w:tc>
      </w:tr>
    </w:tbl>
    <w:p/>
    <w:p>
      <w:pPr>
        <w:spacing w:after="120"/>
      </w:pPr>
      <w:r>
        <w:rPr>
          <w:b w:val="0"/>
          <w:i w:val="0"/>
          <w:sz w:val="20"/>
        </w:rPr>
        <w:t>This is an anti-gaming provision and it cuts both ways. A program team cannot be judged at Gate 2 against criteria invented after Stage 2 was already spent; equally, the team cannot negotiate the bar downward once it becomes clear the product will struggle against it. The Gate 2 criteria at §9 were fixed at Gate 1 on 11 June 2026 and have not moved since.</w:t>
      </w:r>
    </w:p>
    <w:p>
      <w:pPr>
        <w:spacing w:before="360"/>
      </w:pPr>
      <w:r>
        <w:rPr>
          <w:b/>
          <w:i w:val="0"/>
          <w:color w:val="1E5945"/>
          <w:sz w:val="22"/>
        </w:rPr>
        <w:t>Part II — Criteria by Gate</w:t>
      </w:r>
    </w:p>
    <w:p>
      <w:pPr>
        <w:spacing w:before="280" w:after="80"/>
      </w:pPr>
      <w:r>
        <w:rPr>
          <w:b/>
          <w:i w:val="0"/>
          <w:color w:val="14352A"/>
          <w:sz w:val="28"/>
        </w:rPr>
        <w:t>7. Gate 0 — Concept Screening</w:t>
      </w:r>
    </w:p>
    <w:p>
      <w:pPr>
        <w:spacing w:after="120"/>
      </w:pPr>
      <w:r>
        <w:rPr>
          <w:b w:val="0"/>
          <w:i w:val="0"/>
          <w:sz w:val="20"/>
        </w:rPr>
        <w:t>Gate 0 asks one question: is this concept worth the cost of a business case? It is a cheap gate by design and its must-meet list is short, because the purpose of Stage 1 is precisely to establish the facts that later gates will test.</w:t>
      </w:r>
    </w:p>
    <w:p>
      <w:pPr>
        <w:spacing w:before="200" w:after="80"/>
      </w:pPr>
      <w:r>
        <w:rPr>
          <w:b/>
          <w:i w:val="0"/>
          <w:color w:val="1B2130"/>
          <w:sz w:val="21"/>
        </w:rPr>
        <w:t>Must-meet</w:t>
      </w:r>
    </w:p>
    <w:p>
      <w:pPr>
        <w:pStyle w:val="ListBullet"/>
        <w:spacing w:after="60"/>
      </w:pPr>
      <w:r>
        <w:rPr>
          <w:b w:val="0"/>
          <w:i w:val="0"/>
          <w:sz w:val="20"/>
        </w:rPr>
        <w:t>The concept falls within the carrier's licensed lines and existing product authority.</w:t>
      </w:r>
    </w:p>
    <w:p>
      <w:pPr>
        <w:pStyle w:val="ListBullet"/>
        <w:spacing w:after="60"/>
      </w:pPr>
      <w:r>
        <w:rPr>
          <w:b w:val="0"/>
          <w:i w:val="0"/>
          <w:sz w:val="20"/>
        </w:rPr>
        <w:t>There is no known regulatory prohibition on the structure in the target lane.</w:t>
      </w:r>
    </w:p>
    <w:p>
      <w:pPr>
        <w:pStyle w:val="ListBullet"/>
        <w:spacing w:after="60"/>
      </w:pPr>
      <w:r>
        <w:rPr>
          <w:b w:val="0"/>
          <w:i w:val="0"/>
          <w:sz w:val="20"/>
        </w:rPr>
        <w:t>The concept does not require a capability the organisation has already decided not to build.</w:t>
      </w:r>
    </w:p>
    <w:p>
      <w:pPr>
        <w:spacing w:before="200" w:after="80"/>
      </w:pPr>
      <w:r>
        <w:rPr>
          <w:b/>
          <w:i w:val="0"/>
          <w:color w:val="1B2130"/>
          <w:sz w:val="21"/>
        </w:rPr>
        <w:t>Should-meet — scored 05 February 2026</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shd w:val="clear" w:fill="14352A"/>
          </w:tcPr>
          <w:p>
            <w:pPr>
              <w:spacing w:before="40" w:after="40"/>
            </w:pPr>
            <w:r>
              <w:rPr>
                <w:b/>
                <w:i w:val="0"/>
                <w:color w:val="FFFFFF"/>
                <w:sz w:val="17"/>
              </w:rPr>
              <w:t>Criterion</w:t>
            </w:r>
          </w:p>
        </w:tc>
        <w:tc>
          <w:tcPr>
            <w:tcW w:type="dxa" w:w="2412"/>
            <w:shd w:val="clear" w:fill="14352A"/>
          </w:tcPr>
          <w:p>
            <w:pPr>
              <w:spacing w:before="40" w:after="40"/>
            </w:pPr>
            <w:r>
              <w:rPr>
                <w:b/>
                <w:i w:val="0"/>
                <w:color w:val="FFFFFF"/>
                <w:sz w:val="17"/>
              </w:rPr>
              <w:t>Weight</w:t>
            </w:r>
          </w:p>
        </w:tc>
        <w:tc>
          <w:tcPr>
            <w:tcW w:type="dxa" w:w="2412"/>
            <w:shd w:val="clear" w:fill="14352A"/>
          </w:tcPr>
          <w:p>
            <w:pPr>
              <w:spacing w:before="40" w:after="40"/>
            </w:pPr>
            <w:r>
              <w:rPr>
                <w:b/>
                <w:i w:val="0"/>
                <w:color w:val="FFFFFF"/>
                <w:sz w:val="17"/>
              </w:rPr>
              <w:t>Score</w:t>
            </w:r>
          </w:p>
        </w:tc>
        <w:tc>
          <w:tcPr>
            <w:tcW w:type="dxa" w:w="2412"/>
            <w:shd w:val="clear" w:fill="14352A"/>
          </w:tcPr>
          <w:p>
            <w:pPr>
              <w:spacing w:before="40" w:after="40"/>
            </w:pPr>
            <w:r>
              <w:rPr>
                <w:b/>
                <w:i w:val="0"/>
                <w:color w:val="FFFFFF"/>
                <w:sz w:val="17"/>
              </w:rPr>
              <w:t>Weighted</w:t>
            </w:r>
          </w:p>
        </w:tc>
      </w:tr>
      <w:tr>
        <w:tc>
          <w:tcPr>
            <w:tcW w:type="dxa" w:w="2412"/>
          </w:tcPr>
          <w:p>
            <w:pPr>
              <w:spacing w:before="40" w:after="40"/>
            </w:pPr>
            <w:r>
              <w:rPr>
                <w:b w:val="0"/>
                <w:i w:val="0"/>
                <w:sz w:val="17"/>
              </w:rPr>
              <w:t>Strategic fit with the annuity portfolio</w:t>
            </w:r>
          </w:p>
        </w:tc>
        <w:tc>
          <w:tcPr>
            <w:tcW w:type="dxa" w:w="2412"/>
          </w:tcPr>
          <w:p>
            <w:pPr>
              <w:spacing w:before="40" w:after="40"/>
            </w:pPr>
            <w:r>
              <w:rPr>
                <w:b w:val="0"/>
                <w:i w:val="0"/>
                <w:sz w:val="17"/>
              </w:rPr>
              <w:t>25%</w:t>
            </w:r>
          </w:p>
        </w:tc>
        <w:tc>
          <w:tcPr>
            <w:tcW w:type="dxa" w:w="2412"/>
          </w:tcPr>
          <w:p>
            <w:pPr>
              <w:spacing w:before="40" w:after="40"/>
            </w:pPr>
            <w:r>
              <w:rPr>
                <w:b/>
                <w:i w:val="0"/>
                <w:sz w:val="17"/>
              </w:rPr>
              <w:t>4</w:t>
            </w:r>
            <w:r>
              <w:rPr>
                <w:b w:val="0"/>
                <w:i w:val="0"/>
                <w:sz w:val="17"/>
              </w:rPr>
              <w:t xml:space="preserve"> / 5</w:t>
            </w:r>
          </w:p>
        </w:tc>
        <w:tc>
          <w:tcPr>
            <w:tcW w:type="dxa" w:w="2412"/>
          </w:tcPr>
          <w:p>
            <w:pPr>
              <w:spacing w:before="40" w:after="40"/>
            </w:pPr>
            <w:r>
              <w:rPr>
                <w:b w:val="0"/>
                <w:i w:val="0"/>
                <w:sz w:val="17"/>
              </w:rPr>
              <w:t>1.00</w:t>
            </w:r>
          </w:p>
        </w:tc>
      </w:tr>
      <w:tr>
        <w:tc>
          <w:tcPr>
            <w:tcW w:type="dxa" w:w="2412"/>
          </w:tcPr>
          <w:p>
            <w:pPr>
              <w:spacing w:before="40" w:after="40"/>
            </w:pPr>
            <w:r>
              <w:rPr>
                <w:b w:val="0"/>
                <w:i w:val="0"/>
                <w:sz w:val="17"/>
              </w:rPr>
              <w:t>Market attractiveness</w:t>
            </w:r>
          </w:p>
        </w:tc>
        <w:tc>
          <w:tcPr>
            <w:tcW w:type="dxa" w:w="2412"/>
          </w:tcPr>
          <w:p>
            <w:pPr>
              <w:spacing w:before="40" w:after="40"/>
            </w:pPr>
            <w:r>
              <w:rPr>
                <w:b w:val="0"/>
                <w:i w:val="0"/>
                <w:sz w:val="17"/>
              </w:rPr>
              <w:t>25%</w:t>
            </w:r>
          </w:p>
        </w:tc>
        <w:tc>
          <w:tcPr>
            <w:tcW w:type="dxa" w:w="2412"/>
          </w:tcPr>
          <w:p>
            <w:pPr>
              <w:spacing w:before="40" w:after="40"/>
            </w:pPr>
            <w:r>
              <w:rPr>
                <w:b/>
                <w:i w:val="0"/>
                <w:sz w:val="17"/>
              </w:rPr>
              <w:t>4</w:t>
            </w:r>
            <w:r>
              <w:rPr>
                <w:b w:val="0"/>
                <w:i w:val="0"/>
                <w:sz w:val="17"/>
              </w:rPr>
              <w:t xml:space="preserve"> / 5</w:t>
            </w:r>
          </w:p>
        </w:tc>
        <w:tc>
          <w:tcPr>
            <w:tcW w:type="dxa" w:w="2412"/>
          </w:tcPr>
          <w:p>
            <w:pPr>
              <w:spacing w:before="40" w:after="40"/>
            </w:pPr>
            <w:r>
              <w:rPr>
                <w:b w:val="0"/>
                <w:i w:val="0"/>
                <w:sz w:val="17"/>
              </w:rPr>
              <w:t>1.00</w:t>
            </w:r>
          </w:p>
        </w:tc>
      </w:tr>
      <w:tr>
        <w:tc>
          <w:tcPr>
            <w:tcW w:type="dxa" w:w="2412"/>
          </w:tcPr>
          <w:p>
            <w:pPr>
              <w:spacing w:before="40" w:after="40"/>
            </w:pPr>
            <w:r>
              <w:rPr>
                <w:b w:val="0"/>
                <w:i w:val="0"/>
                <w:sz w:val="17"/>
              </w:rPr>
              <w:t>Feasibility — can it be built and filed</w:t>
            </w:r>
          </w:p>
        </w:tc>
        <w:tc>
          <w:tcPr>
            <w:tcW w:type="dxa" w:w="2412"/>
          </w:tcPr>
          <w:p>
            <w:pPr>
              <w:spacing w:before="40" w:after="40"/>
            </w:pPr>
            <w:r>
              <w:rPr>
                <w:b w:val="0"/>
                <w:i w:val="0"/>
                <w:sz w:val="17"/>
              </w:rPr>
              <w:t>20%</w:t>
            </w:r>
          </w:p>
        </w:tc>
        <w:tc>
          <w:tcPr>
            <w:tcW w:type="dxa" w:w="2412"/>
          </w:tcPr>
          <w:p>
            <w:pPr>
              <w:spacing w:before="40" w:after="40"/>
            </w:pPr>
            <w:r>
              <w:rPr>
                <w:b/>
                <w:i w:val="0"/>
                <w:sz w:val="17"/>
              </w:rPr>
              <w:t>4</w:t>
            </w:r>
            <w:r>
              <w:rPr>
                <w:b w:val="0"/>
                <w:i w:val="0"/>
                <w:sz w:val="17"/>
              </w:rPr>
              <w:t xml:space="preserve"> / 5</w:t>
            </w:r>
          </w:p>
        </w:tc>
        <w:tc>
          <w:tcPr>
            <w:tcW w:type="dxa" w:w="2412"/>
          </w:tcPr>
          <w:p>
            <w:pPr>
              <w:spacing w:before="40" w:after="40"/>
            </w:pPr>
            <w:r>
              <w:rPr>
                <w:b w:val="0"/>
                <w:i w:val="0"/>
                <w:sz w:val="17"/>
              </w:rPr>
              <w:t>0.80</w:t>
            </w:r>
          </w:p>
        </w:tc>
      </w:tr>
      <w:tr>
        <w:tc>
          <w:tcPr>
            <w:tcW w:type="dxa" w:w="2412"/>
          </w:tcPr>
          <w:p>
            <w:pPr>
              <w:spacing w:before="40" w:after="40"/>
            </w:pPr>
            <w:r>
              <w:rPr>
                <w:b w:val="0"/>
                <w:i w:val="0"/>
                <w:sz w:val="17"/>
              </w:rPr>
              <w:t>Distribution appetite</w:t>
            </w:r>
          </w:p>
        </w:tc>
        <w:tc>
          <w:tcPr>
            <w:tcW w:type="dxa" w:w="2412"/>
          </w:tcPr>
          <w:p>
            <w:pPr>
              <w:spacing w:before="40" w:after="40"/>
            </w:pPr>
            <w:r>
              <w:rPr>
                <w:b w:val="0"/>
                <w:i w:val="0"/>
                <w:sz w:val="17"/>
              </w:rPr>
              <w:t>15%</w:t>
            </w:r>
          </w:p>
        </w:tc>
        <w:tc>
          <w:tcPr>
            <w:tcW w:type="dxa" w:w="2412"/>
          </w:tcPr>
          <w:p>
            <w:pPr>
              <w:spacing w:before="40" w:after="40"/>
            </w:pPr>
            <w:r>
              <w:rPr>
                <w:b/>
                <w:i w:val="0"/>
                <w:sz w:val="17"/>
              </w:rPr>
              <w:t>4</w:t>
            </w:r>
            <w:r>
              <w:rPr>
                <w:b w:val="0"/>
                <w:i w:val="0"/>
                <w:sz w:val="17"/>
              </w:rPr>
              <w:t xml:space="preserve"> / 5</w:t>
            </w:r>
          </w:p>
        </w:tc>
        <w:tc>
          <w:tcPr>
            <w:tcW w:type="dxa" w:w="2412"/>
          </w:tcPr>
          <w:p>
            <w:pPr>
              <w:spacing w:before="40" w:after="40"/>
            </w:pPr>
            <w:r>
              <w:rPr>
                <w:b w:val="0"/>
                <w:i w:val="0"/>
                <w:sz w:val="17"/>
              </w:rPr>
              <w:t>0.60</w:t>
            </w:r>
          </w:p>
        </w:tc>
      </w:tr>
      <w:tr>
        <w:tc>
          <w:tcPr>
            <w:tcW w:type="dxa" w:w="2412"/>
          </w:tcPr>
          <w:p>
            <w:pPr>
              <w:spacing w:before="40" w:after="40"/>
            </w:pPr>
            <w:r>
              <w:rPr>
                <w:b w:val="0"/>
                <w:i w:val="0"/>
                <w:sz w:val="17"/>
              </w:rPr>
              <w:t>Preliminary economics</w:t>
            </w:r>
          </w:p>
        </w:tc>
        <w:tc>
          <w:tcPr>
            <w:tcW w:type="dxa" w:w="2412"/>
          </w:tcPr>
          <w:p>
            <w:pPr>
              <w:spacing w:before="40" w:after="40"/>
            </w:pPr>
            <w:r>
              <w:rPr>
                <w:b w:val="0"/>
                <w:i w:val="0"/>
                <w:sz w:val="17"/>
              </w:rPr>
              <w:t>15%</w:t>
            </w:r>
          </w:p>
        </w:tc>
        <w:tc>
          <w:tcPr>
            <w:tcW w:type="dxa" w:w="2412"/>
          </w:tcPr>
          <w:p>
            <w:pPr>
              <w:spacing w:before="40" w:after="40"/>
            </w:pPr>
            <w:r>
              <w:rPr>
                <w:b/>
                <w:i w:val="0"/>
                <w:sz w:val="17"/>
              </w:rPr>
              <w:t>3</w:t>
            </w:r>
            <w:r>
              <w:rPr>
                <w:b w:val="0"/>
                <w:i w:val="0"/>
                <w:sz w:val="17"/>
              </w:rPr>
              <w:t xml:space="preserve"> / 5</w:t>
            </w:r>
          </w:p>
        </w:tc>
        <w:tc>
          <w:tcPr>
            <w:tcW w:type="dxa" w:w="2412"/>
          </w:tcPr>
          <w:p>
            <w:pPr>
              <w:spacing w:before="40" w:after="40"/>
            </w:pPr>
            <w:r>
              <w:rPr>
                <w:b w:val="0"/>
                <w:i w:val="0"/>
                <w:sz w:val="17"/>
              </w:rPr>
              <w:t>0.45</w:t>
            </w:r>
          </w:p>
        </w:tc>
      </w:tr>
      <w:tr>
        <w:tc>
          <w:tcPr>
            <w:tcW w:type="dxa" w:w="2412"/>
          </w:tcPr>
          <w:p>
            <w:pPr>
              <w:spacing w:before="40" w:after="40"/>
            </w:pPr>
            <w:r>
              <w:rPr>
                <w:b/>
                <w:i w:val="0"/>
                <w:sz w:val="17"/>
              </w:rPr>
              <w:t>Weighted total</w:t>
            </w:r>
          </w:p>
        </w:tc>
        <w:tc>
          <w:tcPr>
            <w:tcW w:type="dxa" w:w="2412"/>
          </w:tcPr>
          <w:p>
            <w:pPr>
              <w:spacing w:before="40" w:after="40"/>
            </w:pPr>
            <w:r>
              <w:rPr>
                <w:b/>
                <w:i w:val="0"/>
                <w:sz w:val="17"/>
              </w:rPr>
              <w:t>100%</w:t>
            </w:r>
          </w:p>
        </w:tc>
        <w:tc>
          <w:tcPr>
            <w:tcW w:type="dxa" w:w="2412"/>
          </w:tcPr>
          <w:p>
            <w:pPr>
              <w:spacing w:before="40" w:after="40"/>
            </w:pPr>
            <w:r>
              <w:rPr>
                <w:b w:val="0"/>
                <w:i w:val="0"/>
                <w:sz w:val="17"/>
              </w:rPr>
              <w:t>—</w:t>
            </w:r>
          </w:p>
        </w:tc>
        <w:tc>
          <w:tcPr>
            <w:tcW w:type="dxa" w:w="2412"/>
          </w:tcPr>
          <w:p>
            <w:pPr>
              <w:spacing w:before="40" w:after="40"/>
            </w:pPr>
            <w:r>
              <w:rPr>
                <w:b/>
                <w:i w:val="0"/>
                <w:sz w:val="17"/>
              </w:rPr>
              <w:t>3.85</w:t>
            </w:r>
          </w:p>
        </w:tc>
      </w:tr>
    </w:tbl>
    <w:p/>
    <w:p>
      <w:pPr>
        <w:spacing w:after="120"/>
      </w:pPr>
      <w:r>
        <w:rPr>
          <w:b w:val="0"/>
          <w:i w:val="0"/>
          <w:sz w:val="20"/>
        </w:rPr>
        <w:t xml:space="preserve">Outcome </w:t>
      </w:r>
      <w:r>
        <w:rPr>
          <w:b w:val="0"/>
          <w:i w:val="0"/>
          <w:sz w:val="20"/>
        </w:rPr>
        <w:t>GO</w:t>
      </w:r>
      <w:r>
        <w:rPr>
          <w:b w:val="0"/>
          <w:i w:val="0"/>
          <w:sz w:val="20"/>
        </w:rPr>
        <w:t>, carried 5–0. Stage 1 released at $2,180,000. No conditions attached. The single score of 3 — preliminary economics — was expected at this gate and is the reason Stage 1 exists.</w:t>
      </w:r>
    </w:p>
    <w:p>
      <w:pPr>
        <w:spacing w:before="280" w:after="80"/>
      </w:pPr>
      <w:r>
        <w:rPr>
          <w:b/>
          <w:i w:val="0"/>
          <w:color w:val="14352A"/>
          <w:sz w:val="28"/>
        </w:rPr>
        <w:t>8. Gate 1 — Business Case</w:t>
      </w:r>
    </w:p>
    <w:p>
      <w:pPr>
        <w:spacing w:after="120"/>
      </w:pPr>
      <w:r>
        <w:rPr>
          <w:b w:val="0"/>
          <w:i w:val="0"/>
          <w:sz w:val="20"/>
        </w:rPr>
        <w:t>Gate 1 is the first gate with real money behind it: it releases $11,640,000, the largest single tranche in the program. Its must-meet list is correspondingly demanding.</w:t>
      </w:r>
    </w:p>
    <w:p>
      <w:pPr>
        <w:spacing w:before="200" w:after="80"/>
      </w:pPr>
      <w:r>
        <w:rPr>
          <w:b/>
          <w:i w:val="0"/>
          <w:color w:val="1B2130"/>
          <w:sz w:val="21"/>
        </w:rPr>
        <w:t>Must-meet</w:t>
      </w:r>
    </w:p>
    <w:p>
      <w:pPr>
        <w:pStyle w:val="ListBullet"/>
        <w:spacing w:after="60"/>
      </w:pPr>
      <w:r>
        <w:rPr>
          <w:b w:val="0"/>
          <w:i w:val="0"/>
          <w:sz w:val="20"/>
        </w:rPr>
        <w:t>Product can be filed in the assumed regulatory lane, confirmed by Legal &amp; Compliance.</w:t>
      </w:r>
    </w:p>
    <w:p>
      <w:pPr>
        <w:pStyle w:val="ListBullet"/>
        <w:spacing w:after="60"/>
      </w:pPr>
      <w:r>
        <w:rPr>
          <w:b w:val="0"/>
          <w:i w:val="0"/>
          <w:sz w:val="20"/>
        </w:rPr>
        <w:t>A pricing basis exists that clears the hurdle rate on a current capital charge.</w:t>
      </w:r>
    </w:p>
    <w:p>
      <w:pPr>
        <w:pStyle w:val="ListBullet"/>
        <w:spacing w:after="60"/>
      </w:pPr>
      <w:r>
        <w:rPr>
          <w:b w:val="0"/>
          <w:i w:val="0"/>
          <w:sz w:val="20"/>
        </w:rPr>
        <w:t>The guarantee can be hedged with in-house capability, or a costed alternative is presented.</w:t>
      </w:r>
    </w:p>
    <w:p>
      <w:pPr>
        <w:pStyle w:val="ListBullet"/>
        <w:spacing w:after="60"/>
      </w:pPr>
      <w:r>
        <w:rPr>
          <w:b w:val="0"/>
          <w:i w:val="0"/>
          <w:sz w:val="20"/>
        </w:rPr>
        <w:t>Distribution has confirmed appetite in writing from at least three partners.</w:t>
      </w:r>
    </w:p>
    <w:p>
      <w:pPr>
        <w:pStyle w:val="ListBullet"/>
        <w:spacing w:after="60"/>
      </w:pPr>
      <w:r>
        <w:rPr>
          <w:b w:val="0"/>
          <w:i w:val="0"/>
          <w:sz w:val="20"/>
        </w:rPr>
        <w:t>Required capital is available within the planning period without displacing a committed use.</w:t>
      </w:r>
    </w:p>
    <w:p>
      <w:pPr>
        <w:spacing w:before="200" w:after="80"/>
      </w:pPr>
      <w:r>
        <w:rPr>
          <w:b/>
          <w:i w:val="0"/>
          <w:color w:val="1B2130"/>
          <w:sz w:val="21"/>
        </w:rPr>
        <w:t>Should-meet — scored 11 June 2026 (second convening)</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shd w:val="clear" w:fill="14352A"/>
          </w:tcPr>
          <w:p>
            <w:pPr>
              <w:spacing w:before="40" w:after="40"/>
            </w:pPr>
            <w:r>
              <w:rPr>
                <w:b/>
                <w:i w:val="0"/>
                <w:color w:val="FFFFFF"/>
                <w:sz w:val="17"/>
              </w:rPr>
              <w:t>Criterion</w:t>
            </w:r>
          </w:p>
        </w:tc>
        <w:tc>
          <w:tcPr>
            <w:tcW w:type="dxa" w:w="2412"/>
            <w:shd w:val="clear" w:fill="14352A"/>
          </w:tcPr>
          <w:p>
            <w:pPr>
              <w:spacing w:before="40" w:after="40"/>
            </w:pPr>
            <w:r>
              <w:rPr>
                <w:b/>
                <w:i w:val="0"/>
                <w:color w:val="FFFFFF"/>
                <w:sz w:val="17"/>
              </w:rPr>
              <w:t>Weight</w:t>
            </w:r>
          </w:p>
        </w:tc>
        <w:tc>
          <w:tcPr>
            <w:tcW w:type="dxa" w:w="2412"/>
            <w:shd w:val="clear" w:fill="14352A"/>
          </w:tcPr>
          <w:p>
            <w:pPr>
              <w:spacing w:before="40" w:after="40"/>
            </w:pPr>
            <w:r>
              <w:rPr>
                <w:b/>
                <w:i w:val="0"/>
                <w:color w:val="FFFFFF"/>
                <w:sz w:val="17"/>
              </w:rPr>
              <w:t>Score</w:t>
            </w:r>
          </w:p>
        </w:tc>
        <w:tc>
          <w:tcPr>
            <w:tcW w:type="dxa" w:w="2412"/>
            <w:shd w:val="clear" w:fill="14352A"/>
          </w:tcPr>
          <w:p>
            <w:pPr>
              <w:spacing w:before="40" w:after="40"/>
            </w:pPr>
            <w:r>
              <w:rPr>
                <w:b/>
                <w:i w:val="0"/>
                <w:color w:val="FFFFFF"/>
                <w:sz w:val="17"/>
              </w:rPr>
              <w:t>Weighted</w:t>
            </w:r>
          </w:p>
        </w:tc>
      </w:tr>
      <w:tr>
        <w:tc>
          <w:tcPr>
            <w:tcW w:type="dxa" w:w="2412"/>
          </w:tcPr>
          <w:p>
            <w:pPr>
              <w:spacing w:before="40" w:after="40"/>
            </w:pPr>
            <w:r>
              <w:rPr>
                <w:b w:val="0"/>
                <w:i w:val="0"/>
                <w:sz w:val="17"/>
              </w:rPr>
              <w:t>Market attractiveness</w:t>
            </w:r>
          </w:p>
        </w:tc>
        <w:tc>
          <w:tcPr>
            <w:tcW w:type="dxa" w:w="2412"/>
          </w:tcPr>
          <w:p>
            <w:pPr>
              <w:spacing w:before="40" w:after="40"/>
            </w:pPr>
            <w:r>
              <w:rPr>
                <w:b w:val="0"/>
                <w:i w:val="0"/>
                <w:sz w:val="17"/>
              </w:rPr>
              <w:t>20%</w:t>
            </w:r>
          </w:p>
        </w:tc>
        <w:tc>
          <w:tcPr>
            <w:tcW w:type="dxa" w:w="2412"/>
          </w:tcPr>
          <w:p>
            <w:pPr>
              <w:spacing w:before="40" w:after="40"/>
            </w:pPr>
            <w:r>
              <w:rPr>
                <w:b/>
                <w:i w:val="0"/>
                <w:sz w:val="17"/>
              </w:rPr>
              <w:t>4</w:t>
            </w:r>
            <w:r>
              <w:rPr>
                <w:b w:val="0"/>
                <w:i w:val="0"/>
                <w:sz w:val="17"/>
              </w:rPr>
              <w:t xml:space="preserve"> / 5</w:t>
            </w:r>
          </w:p>
        </w:tc>
        <w:tc>
          <w:tcPr>
            <w:tcW w:type="dxa" w:w="2412"/>
          </w:tcPr>
          <w:p>
            <w:pPr>
              <w:spacing w:before="40" w:after="40"/>
            </w:pPr>
            <w:r>
              <w:rPr>
                <w:b w:val="0"/>
                <w:i w:val="0"/>
                <w:sz w:val="17"/>
              </w:rPr>
              <w:t>0.80</w:t>
            </w:r>
          </w:p>
        </w:tc>
      </w:tr>
      <w:tr>
        <w:tc>
          <w:tcPr>
            <w:tcW w:type="dxa" w:w="2412"/>
          </w:tcPr>
          <w:p>
            <w:pPr>
              <w:spacing w:before="40" w:after="40"/>
            </w:pPr>
            <w:r>
              <w:rPr>
                <w:b w:val="0"/>
                <w:i w:val="0"/>
                <w:sz w:val="17"/>
              </w:rPr>
              <w:t>Competitive position — illustrated cap against peer set</w:t>
            </w:r>
          </w:p>
        </w:tc>
        <w:tc>
          <w:tcPr>
            <w:tcW w:type="dxa" w:w="2412"/>
          </w:tcPr>
          <w:p>
            <w:pPr>
              <w:spacing w:before="40" w:after="40"/>
            </w:pPr>
            <w:r>
              <w:rPr>
                <w:b w:val="0"/>
                <w:i w:val="0"/>
                <w:sz w:val="17"/>
              </w:rPr>
              <w:t>15%</w:t>
            </w:r>
          </w:p>
        </w:tc>
        <w:tc>
          <w:tcPr>
            <w:tcW w:type="dxa" w:w="2412"/>
          </w:tcPr>
          <w:p>
            <w:pPr>
              <w:spacing w:before="40" w:after="40"/>
            </w:pPr>
            <w:r>
              <w:rPr>
                <w:b/>
                <w:i w:val="0"/>
                <w:sz w:val="17"/>
              </w:rPr>
              <w:t>3</w:t>
            </w:r>
            <w:r>
              <w:rPr>
                <w:b w:val="0"/>
                <w:i w:val="0"/>
                <w:sz w:val="17"/>
              </w:rPr>
              <w:t xml:space="preserve"> / 5</w:t>
            </w:r>
          </w:p>
        </w:tc>
        <w:tc>
          <w:tcPr>
            <w:tcW w:type="dxa" w:w="2412"/>
          </w:tcPr>
          <w:p>
            <w:pPr>
              <w:spacing w:before="40" w:after="40"/>
            </w:pPr>
            <w:r>
              <w:rPr>
                <w:b w:val="0"/>
                <w:i w:val="0"/>
                <w:sz w:val="17"/>
              </w:rPr>
              <w:t>0.45</w:t>
            </w:r>
          </w:p>
        </w:tc>
      </w:tr>
      <w:tr>
        <w:tc>
          <w:tcPr>
            <w:tcW w:type="dxa" w:w="2412"/>
          </w:tcPr>
          <w:p>
            <w:pPr>
              <w:spacing w:before="40" w:after="40"/>
            </w:pPr>
            <w:r>
              <w:rPr>
                <w:b w:val="0"/>
                <w:i w:val="0"/>
                <w:sz w:val="17"/>
              </w:rPr>
              <w:t>Distribution commitment</w:t>
            </w:r>
          </w:p>
        </w:tc>
        <w:tc>
          <w:tcPr>
            <w:tcW w:type="dxa" w:w="2412"/>
          </w:tcPr>
          <w:p>
            <w:pPr>
              <w:spacing w:before="40" w:after="40"/>
            </w:pPr>
            <w:r>
              <w:rPr>
                <w:b w:val="0"/>
                <w:i w:val="0"/>
                <w:sz w:val="17"/>
              </w:rPr>
              <w:t>20%</w:t>
            </w:r>
          </w:p>
        </w:tc>
        <w:tc>
          <w:tcPr>
            <w:tcW w:type="dxa" w:w="2412"/>
          </w:tcPr>
          <w:p>
            <w:pPr>
              <w:spacing w:before="40" w:after="40"/>
            </w:pPr>
            <w:r>
              <w:rPr>
                <w:b/>
                <w:i w:val="0"/>
                <w:sz w:val="17"/>
              </w:rPr>
              <w:t>3</w:t>
            </w:r>
            <w:r>
              <w:rPr>
                <w:b w:val="0"/>
                <w:i w:val="0"/>
                <w:sz w:val="17"/>
              </w:rPr>
              <w:t xml:space="preserve"> / 5</w:t>
            </w:r>
          </w:p>
        </w:tc>
        <w:tc>
          <w:tcPr>
            <w:tcW w:type="dxa" w:w="2412"/>
          </w:tcPr>
          <w:p>
            <w:pPr>
              <w:spacing w:before="40" w:after="40"/>
            </w:pPr>
            <w:r>
              <w:rPr>
                <w:b w:val="0"/>
                <w:i w:val="0"/>
                <w:sz w:val="17"/>
              </w:rPr>
              <w:t>0.60</w:t>
            </w:r>
          </w:p>
        </w:tc>
      </w:tr>
      <w:tr>
        <w:tc>
          <w:tcPr>
            <w:tcW w:type="dxa" w:w="2412"/>
          </w:tcPr>
          <w:p>
            <w:pPr>
              <w:spacing w:before="40" w:after="40"/>
            </w:pPr>
            <w:r>
              <w:rPr>
                <w:b w:val="0"/>
                <w:i w:val="0"/>
                <w:sz w:val="17"/>
              </w:rPr>
              <w:t>Financial return against hurdle</w:t>
            </w:r>
          </w:p>
        </w:tc>
        <w:tc>
          <w:tcPr>
            <w:tcW w:type="dxa" w:w="2412"/>
          </w:tcPr>
          <w:p>
            <w:pPr>
              <w:spacing w:before="40" w:after="40"/>
            </w:pPr>
            <w:r>
              <w:rPr>
                <w:b w:val="0"/>
                <w:i w:val="0"/>
                <w:sz w:val="17"/>
              </w:rPr>
              <w:t>20%</w:t>
            </w:r>
          </w:p>
        </w:tc>
        <w:tc>
          <w:tcPr>
            <w:tcW w:type="dxa" w:w="2412"/>
          </w:tcPr>
          <w:p>
            <w:pPr>
              <w:spacing w:before="40" w:after="40"/>
            </w:pPr>
            <w:r>
              <w:rPr>
                <w:b/>
                <w:i w:val="0"/>
                <w:sz w:val="17"/>
              </w:rPr>
              <w:t>3</w:t>
            </w:r>
            <w:r>
              <w:rPr>
                <w:b w:val="0"/>
                <w:i w:val="0"/>
                <w:sz w:val="17"/>
              </w:rPr>
              <w:t xml:space="preserve"> / 5</w:t>
            </w:r>
          </w:p>
        </w:tc>
        <w:tc>
          <w:tcPr>
            <w:tcW w:type="dxa" w:w="2412"/>
          </w:tcPr>
          <w:p>
            <w:pPr>
              <w:spacing w:before="40" w:after="40"/>
            </w:pPr>
            <w:r>
              <w:rPr>
                <w:b w:val="0"/>
                <w:i w:val="0"/>
                <w:sz w:val="17"/>
              </w:rPr>
              <w:t>0.60</w:t>
            </w:r>
          </w:p>
        </w:tc>
      </w:tr>
      <w:tr>
        <w:tc>
          <w:tcPr>
            <w:tcW w:type="dxa" w:w="2412"/>
          </w:tcPr>
          <w:p>
            <w:pPr>
              <w:spacing w:before="40" w:after="40"/>
            </w:pPr>
            <w:r>
              <w:rPr>
                <w:b w:val="0"/>
                <w:i w:val="0"/>
                <w:sz w:val="17"/>
              </w:rPr>
              <w:t>Technical &amp; operational feasibility</w:t>
            </w:r>
          </w:p>
        </w:tc>
        <w:tc>
          <w:tcPr>
            <w:tcW w:type="dxa" w:w="2412"/>
          </w:tcPr>
          <w:p>
            <w:pPr>
              <w:spacing w:before="40" w:after="40"/>
            </w:pPr>
            <w:r>
              <w:rPr>
                <w:b w:val="0"/>
                <w:i w:val="0"/>
                <w:sz w:val="17"/>
              </w:rPr>
              <w:t>15%</w:t>
            </w:r>
          </w:p>
        </w:tc>
        <w:tc>
          <w:tcPr>
            <w:tcW w:type="dxa" w:w="2412"/>
          </w:tcPr>
          <w:p>
            <w:pPr>
              <w:spacing w:before="40" w:after="40"/>
            </w:pPr>
            <w:r>
              <w:rPr>
                <w:b/>
                <w:i w:val="0"/>
                <w:sz w:val="17"/>
              </w:rPr>
              <w:t>3</w:t>
            </w:r>
            <w:r>
              <w:rPr>
                <w:b w:val="0"/>
                <w:i w:val="0"/>
                <w:sz w:val="17"/>
              </w:rPr>
              <w:t xml:space="preserve"> / 5</w:t>
            </w:r>
          </w:p>
        </w:tc>
        <w:tc>
          <w:tcPr>
            <w:tcW w:type="dxa" w:w="2412"/>
          </w:tcPr>
          <w:p>
            <w:pPr>
              <w:spacing w:before="40" w:after="40"/>
            </w:pPr>
            <w:r>
              <w:rPr>
                <w:b w:val="0"/>
                <w:i w:val="0"/>
                <w:sz w:val="17"/>
              </w:rPr>
              <w:t>0.45</w:t>
            </w:r>
          </w:p>
        </w:tc>
      </w:tr>
      <w:tr>
        <w:tc>
          <w:tcPr>
            <w:tcW w:type="dxa" w:w="2412"/>
          </w:tcPr>
          <w:p>
            <w:pPr>
              <w:spacing w:before="40" w:after="40"/>
            </w:pPr>
            <w:r>
              <w:rPr>
                <w:b w:val="0"/>
                <w:i w:val="0"/>
                <w:sz w:val="17"/>
              </w:rPr>
              <w:t>Risk profile</w:t>
            </w:r>
          </w:p>
        </w:tc>
        <w:tc>
          <w:tcPr>
            <w:tcW w:type="dxa" w:w="2412"/>
          </w:tcPr>
          <w:p>
            <w:pPr>
              <w:spacing w:before="40" w:after="40"/>
            </w:pPr>
            <w:r>
              <w:rPr>
                <w:b w:val="0"/>
                <w:i w:val="0"/>
                <w:sz w:val="17"/>
              </w:rPr>
              <w:t>10%</w:t>
            </w:r>
          </w:p>
        </w:tc>
        <w:tc>
          <w:tcPr>
            <w:tcW w:type="dxa" w:w="2412"/>
          </w:tcPr>
          <w:p>
            <w:pPr>
              <w:spacing w:before="40" w:after="40"/>
            </w:pPr>
            <w:r>
              <w:rPr>
                <w:b/>
                <w:i w:val="0"/>
                <w:sz w:val="17"/>
              </w:rPr>
              <w:t>3</w:t>
            </w:r>
            <w:r>
              <w:rPr>
                <w:b w:val="0"/>
                <w:i w:val="0"/>
                <w:sz w:val="17"/>
              </w:rPr>
              <w:t xml:space="preserve"> / 5</w:t>
            </w:r>
          </w:p>
        </w:tc>
        <w:tc>
          <w:tcPr>
            <w:tcW w:type="dxa" w:w="2412"/>
          </w:tcPr>
          <w:p>
            <w:pPr>
              <w:spacing w:before="40" w:after="40"/>
            </w:pPr>
            <w:r>
              <w:rPr>
                <w:b w:val="0"/>
                <w:i w:val="0"/>
                <w:sz w:val="17"/>
              </w:rPr>
              <w:t>0.30</w:t>
            </w:r>
          </w:p>
        </w:tc>
      </w:tr>
      <w:tr>
        <w:tc>
          <w:tcPr>
            <w:tcW w:type="dxa" w:w="2412"/>
          </w:tcPr>
          <w:p>
            <w:pPr>
              <w:spacing w:before="40" w:after="40"/>
            </w:pPr>
            <w:r>
              <w:rPr>
                <w:b/>
                <w:i w:val="0"/>
                <w:sz w:val="17"/>
              </w:rPr>
              <w:t>Weighted total</w:t>
            </w:r>
          </w:p>
        </w:tc>
        <w:tc>
          <w:tcPr>
            <w:tcW w:type="dxa" w:w="2412"/>
          </w:tcPr>
          <w:p>
            <w:pPr>
              <w:spacing w:before="40" w:after="40"/>
            </w:pPr>
            <w:r>
              <w:rPr>
                <w:b/>
                <w:i w:val="0"/>
                <w:sz w:val="17"/>
              </w:rPr>
              <w:t>100%</w:t>
            </w:r>
          </w:p>
        </w:tc>
        <w:tc>
          <w:tcPr>
            <w:tcW w:type="dxa" w:w="2412"/>
          </w:tcPr>
          <w:p>
            <w:pPr>
              <w:spacing w:before="40" w:after="40"/>
            </w:pPr>
            <w:r>
              <w:rPr>
                <w:b w:val="0"/>
                <w:i w:val="0"/>
                <w:sz w:val="17"/>
              </w:rPr>
              <w:t>—</w:t>
            </w:r>
          </w:p>
        </w:tc>
        <w:tc>
          <w:tcPr>
            <w:tcW w:type="dxa" w:w="2412"/>
          </w:tcPr>
          <w:p>
            <w:pPr>
              <w:spacing w:before="40" w:after="40"/>
            </w:pPr>
            <w:r>
              <w:rPr>
                <w:b/>
                <w:i w:val="0"/>
                <w:sz w:val="17"/>
              </w:rPr>
              <w:t>3.20</w:t>
            </w:r>
          </w:p>
        </w:tc>
      </w:tr>
    </w:tbl>
    <w:p/>
    <w:p>
      <w:pPr>
        <w:spacing w:after="120"/>
      </w:pPr>
      <w:r>
        <w:rPr>
          <w:b w:val="0"/>
          <w:i w:val="0"/>
          <w:sz w:val="20"/>
        </w:rPr>
        <w:t xml:space="preserve">Outcome </w:t>
      </w:r>
      <w:r>
        <w:rPr>
          <w:b w:val="0"/>
          <w:i w:val="0"/>
          <w:sz w:val="20"/>
        </w:rPr>
        <w:t>GO WITH CONDITIONS</w:t>
      </w:r>
      <w:r>
        <w:rPr>
          <w:b w:val="0"/>
          <w:i w:val="0"/>
          <w:sz w:val="20"/>
        </w:rPr>
        <w:t xml:space="preserve">, carried 4–0–1. The score of 3.20 sits in the conditions band, and the four criteria scoring 3 map directly onto the conditions issued: competitive position and financial return to </w:t>
      </w:r>
      <w:r>
        <w:rPr>
          <w:b/>
          <w:i w:val="0"/>
          <w:sz w:val="20"/>
        </w:rPr>
        <w:t>GC-03</w:t>
      </w:r>
      <w:r>
        <w:rPr>
          <w:b w:val="0"/>
          <w:i w:val="0"/>
          <w:sz w:val="20"/>
        </w:rPr>
        <w:t xml:space="preserve"> (external pricing peer review), distribution commitment to </w:t>
      </w:r>
      <w:r>
        <w:rPr>
          <w:b/>
          <w:i w:val="0"/>
          <w:sz w:val="20"/>
        </w:rPr>
        <w:t>GC-04</w:t>
      </w:r>
      <w:r>
        <w:rPr>
          <w:b w:val="0"/>
          <w:i w:val="0"/>
          <w:sz w:val="20"/>
        </w:rPr>
        <w:t xml:space="preserve">, feasibility to </w:t>
      </w:r>
      <w:r>
        <w:rPr>
          <w:b/>
          <w:i w:val="0"/>
          <w:sz w:val="20"/>
        </w:rPr>
        <w:t>GC-01</w:t>
      </w:r>
      <w:r>
        <w:rPr>
          <w:b w:val="0"/>
          <w:i w:val="0"/>
          <w:sz w:val="20"/>
        </w:rPr>
        <w:t xml:space="preserve"> and </w:t>
      </w:r>
      <w:r>
        <w:rPr>
          <w:b/>
          <w:i w:val="0"/>
          <w:sz w:val="20"/>
        </w:rPr>
        <w:t>GC-05</w:t>
      </w:r>
      <w:r>
        <w:rPr>
          <w:b w:val="0"/>
          <w:i w:val="0"/>
          <w:sz w:val="20"/>
        </w:rPr>
        <w:t>. This is the intended behaviour of the framework — every weakness that supports a continuation decision should leave the room with an owner attached to it.</w:t>
      </w:r>
    </w:p>
    <w:p>
      <w:pPr>
        <w:spacing w:before="280" w:after="80"/>
      </w:pPr>
      <w:r>
        <w:rPr>
          <w:b/>
          <w:i w:val="0"/>
          <w:color w:val="14352A"/>
          <w:sz w:val="28"/>
        </w:rPr>
        <w:t>9. Gate 2 — Development Complete &amp; Filing Readiness</w:t>
      </w:r>
    </w:p>
    <w:p>
      <w:pPr>
        <w:spacing w:after="120"/>
      </w:pPr>
      <w:r>
        <w:rPr>
          <w:b w:val="0"/>
          <w:i/>
          <w:sz w:val="20"/>
        </w:rPr>
        <w:t>Criteria fixed at Gate 1 on 11 June 2026. Gate convenes 01 April 2027; releases $7,450,000.</w:t>
      </w:r>
    </w:p>
    <w:p>
      <w:pPr>
        <w:spacing w:before="200" w:after="80"/>
      </w:pPr>
      <w:r>
        <w:rPr>
          <w:b/>
          <w:i w:val="0"/>
          <w:color w:val="1B2130"/>
          <w:sz w:val="21"/>
        </w:rPr>
        <w:t>Must-meet</w:t>
      </w:r>
    </w:p>
    <w:p>
      <w:pPr>
        <w:pStyle w:val="ListBullet"/>
        <w:spacing w:after="60"/>
      </w:pPr>
      <w:r>
        <w:rPr>
          <w:b w:val="0"/>
          <w:i w:val="0"/>
          <w:sz w:val="20"/>
        </w:rPr>
        <w:t>Contract forms complete and cleared by outside counsel.</w:t>
      </w:r>
    </w:p>
    <w:p>
      <w:pPr>
        <w:pStyle w:val="ListBullet"/>
        <w:spacing w:after="60"/>
      </w:pPr>
      <w:r>
        <w:rPr>
          <w:b w:val="0"/>
          <w:i w:val="0"/>
          <w:sz w:val="20"/>
        </w:rPr>
        <w:t xml:space="preserve">Pricing signed by the Chief Actuary on current assumptions, and supported by the independent external review required under </w:t>
      </w:r>
      <w:r>
        <w:rPr>
          <w:b/>
          <w:i w:val="0"/>
          <w:sz w:val="20"/>
        </w:rPr>
        <w:t>GC-03</w:t>
      </w:r>
      <w:r>
        <w:rPr>
          <w:b w:val="0"/>
          <w:i w:val="0"/>
          <w:sz w:val="20"/>
        </w:rPr>
        <w:t>.</w:t>
      </w:r>
    </w:p>
    <w:p>
      <w:pPr>
        <w:pStyle w:val="ListBullet"/>
        <w:spacing w:after="60"/>
      </w:pPr>
      <w:r>
        <w:rPr>
          <w:b w:val="0"/>
          <w:i w:val="0"/>
          <w:sz w:val="20"/>
        </w:rPr>
        <w:t>Illustration output validated against the filed methodology.</w:t>
      </w:r>
    </w:p>
    <w:p>
      <w:pPr>
        <w:pStyle w:val="ListBullet"/>
        <w:spacing w:after="60"/>
      </w:pPr>
      <w:r>
        <w:rPr>
          <w:b w:val="0"/>
          <w:i w:val="0"/>
          <w:sz w:val="20"/>
        </w:rPr>
        <w:t xml:space="preserve">Hedging readiness plan accepted under </w:t>
      </w:r>
      <w:r>
        <w:rPr>
          <w:b/>
          <w:i w:val="0"/>
          <w:sz w:val="20"/>
        </w:rPr>
        <w:t>GC-05</w:t>
      </w:r>
      <w:r>
        <w:rPr>
          <w:b w:val="0"/>
          <w:i w:val="0"/>
          <w:sz w:val="20"/>
        </w:rPr>
        <w:t>, with ISDA milestones dated.</w:t>
      </w:r>
    </w:p>
    <w:p>
      <w:pPr>
        <w:pStyle w:val="ListBullet"/>
        <w:spacing w:after="60"/>
      </w:pPr>
      <w:r>
        <w:rPr>
          <w:b w:val="0"/>
          <w:i w:val="0"/>
          <w:sz w:val="20"/>
        </w:rPr>
        <w:t>All Gate 1 conditions closed, or explicitly re-issued by Board decision with new dates.</w:t>
      </w:r>
    </w:p>
    <w:p>
      <w:pPr>
        <w:spacing w:before="200" w:after="80"/>
      </w:pPr>
      <w:r>
        <w:rPr>
          <w:b/>
          <w:i w:val="0"/>
          <w:color w:val="1B2130"/>
          <w:sz w:val="21"/>
        </w:rPr>
        <w:t>Should-meet</w:t>
      </w:r>
    </w:p>
    <w:tbl>
      <w:tblPr>
        <w:tblStyle w:val="TableGrid"/>
        <w:tblW w:type="auto" w:w="0"/>
        <w:jc w:val="center"/>
        <w:tblLook w:firstColumn="1" w:firstRow="1" w:lastColumn="0" w:lastRow="0" w:noHBand="0" w:noVBand="1" w:val="04A0"/>
      </w:tblPr>
      <w:tblGrid>
        <w:gridCol w:w="4824"/>
        <w:gridCol w:w="4824"/>
      </w:tblGrid>
      <w:tr>
        <w:tc>
          <w:tcPr>
            <w:tcW w:type="dxa" w:w="4824"/>
            <w:shd w:val="clear" w:fill="14352A"/>
          </w:tcPr>
          <w:p>
            <w:pPr>
              <w:spacing w:before="40" w:after="40"/>
            </w:pPr>
            <w:r>
              <w:rPr>
                <w:b/>
                <w:i w:val="0"/>
                <w:color w:val="FFFFFF"/>
                <w:sz w:val="17"/>
              </w:rPr>
              <w:t>Criterion</w:t>
            </w:r>
          </w:p>
        </w:tc>
        <w:tc>
          <w:tcPr>
            <w:tcW w:type="dxa" w:w="4824"/>
            <w:shd w:val="clear" w:fill="14352A"/>
          </w:tcPr>
          <w:p>
            <w:pPr>
              <w:spacing w:before="40" w:after="40"/>
            </w:pPr>
            <w:r>
              <w:rPr>
                <w:b/>
                <w:i w:val="0"/>
                <w:color w:val="FFFFFF"/>
                <w:sz w:val="17"/>
              </w:rPr>
              <w:t>Weight</w:t>
            </w:r>
          </w:p>
        </w:tc>
      </w:tr>
      <w:tr>
        <w:tc>
          <w:tcPr>
            <w:tcW w:type="dxa" w:w="4824"/>
          </w:tcPr>
          <w:p>
            <w:pPr>
              <w:spacing w:before="40" w:after="40"/>
            </w:pPr>
            <w:r>
              <w:rPr>
                <w:b w:val="0"/>
                <w:i w:val="0"/>
                <w:sz w:val="17"/>
              </w:rPr>
              <w:t>Filing readiness — completeness of the Compact submission package</w:t>
            </w:r>
          </w:p>
        </w:tc>
        <w:tc>
          <w:tcPr>
            <w:tcW w:type="dxa" w:w="4824"/>
          </w:tcPr>
          <w:p>
            <w:pPr>
              <w:spacing w:before="40" w:after="40"/>
            </w:pPr>
            <w:r>
              <w:rPr>
                <w:b w:val="0"/>
                <w:i w:val="0"/>
                <w:sz w:val="17"/>
              </w:rPr>
              <w:t>25%</w:t>
            </w:r>
          </w:p>
        </w:tc>
      </w:tr>
      <w:tr>
        <w:tc>
          <w:tcPr>
            <w:tcW w:type="dxa" w:w="4824"/>
          </w:tcPr>
          <w:p>
            <w:pPr>
              <w:spacing w:before="40" w:after="40"/>
            </w:pPr>
            <w:r>
              <w:rPr>
                <w:b w:val="0"/>
                <w:i w:val="0"/>
                <w:sz w:val="17"/>
              </w:rPr>
              <w:t>Pricing robustness under the external review and current option budget</w:t>
            </w:r>
          </w:p>
        </w:tc>
        <w:tc>
          <w:tcPr>
            <w:tcW w:type="dxa" w:w="4824"/>
          </w:tcPr>
          <w:p>
            <w:pPr>
              <w:spacing w:before="40" w:after="40"/>
            </w:pPr>
            <w:r>
              <w:rPr>
                <w:b w:val="0"/>
                <w:i w:val="0"/>
                <w:sz w:val="17"/>
              </w:rPr>
              <w:t>25%</w:t>
            </w:r>
          </w:p>
        </w:tc>
      </w:tr>
      <w:tr>
        <w:tc>
          <w:tcPr>
            <w:tcW w:type="dxa" w:w="4824"/>
          </w:tcPr>
          <w:p>
            <w:pPr>
              <w:spacing w:before="40" w:after="40"/>
            </w:pPr>
            <w:r>
              <w:rPr>
                <w:b w:val="0"/>
                <w:i w:val="0"/>
                <w:sz w:val="17"/>
              </w:rPr>
              <w:t>Platform &amp; illustration build completeness against specification</w:t>
            </w:r>
          </w:p>
        </w:tc>
        <w:tc>
          <w:tcPr>
            <w:tcW w:type="dxa" w:w="4824"/>
          </w:tcPr>
          <w:p>
            <w:pPr>
              <w:spacing w:before="40" w:after="40"/>
            </w:pPr>
            <w:r>
              <w:rPr>
                <w:b w:val="0"/>
                <w:i w:val="0"/>
                <w:sz w:val="17"/>
              </w:rPr>
              <w:t>20%</w:t>
            </w:r>
          </w:p>
        </w:tc>
      </w:tr>
      <w:tr>
        <w:tc>
          <w:tcPr>
            <w:tcW w:type="dxa" w:w="4824"/>
          </w:tcPr>
          <w:p>
            <w:pPr>
              <w:spacing w:before="40" w:after="40"/>
            </w:pPr>
            <w:r>
              <w:rPr>
                <w:b w:val="0"/>
                <w:i w:val="0"/>
                <w:sz w:val="17"/>
              </w:rPr>
              <w:t>Competitive position of the illustrated product at current rates</w:t>
            </w:r>
          </w:p>
        </w:tc>
        <w:tc>
          <w:tcPr>
            <w:tcW w:type="dxa" w:w="4824"/>
          </w:tcPr>
          <w:p>
            <w:pPr>
              <w:spacing w:before="40" w:after="40"/>
            </w:pPr>
            <w:r>
              <w:rPr>
                <w:b w:val="0"/>
                <w:i w:val="0"/>
                <w:sz w:val="17"/>
              </w:rPr>
              <w:t>20%</w:t>
            </w:r>
          </w:p>
        </w:tc>
      </w:tr>
      <w:tr>
        <w:tc>
          <w:tcPr>
            <w:tcW w:type="dxa" w:w="4824"/>
          </w:tcPr>
          <w:p>
            <w:pPr>
              <w:spacing w:before="40" w:after="40"/>
            </w:pPr>
            <w:r>
              <w:rPr>
                <w:b w:val="0"/>
                <w:i w:val="0"/>
                <w:sz w:val="17"/>
              </w:rPr>
              <w:t>Distribution readiness — channel and appointment pipeline</w:t>
            </w:r>
          </w:p>
        </w:tc>
        <w:tc>
          <w:tcPr>
            <w:tcW w:type="dxa" w:w="4824"/>
          </w:tcPr>
          <w:p>
            <w:pPr>
              <w:spacing w:before="40" w:after="40"/>
            </w:pPr>
            <w:r>
              <w:rPr>
                <w:b w:val="0"/>
                <w:i w:val="0"/>
                <w:sz w:val="17"/>
              </w:rPr>
              <w:t>10%</w:t>
            </w:r>
          </w:p>
        </w:tc>
      </w:tr>
    </w:tbl>
    <w:p/>
    <w:p>
      <w:pPr>
        <w:spacing w:before="280" w:after="80"/>
      </w:pPr>
      <w:r>
        <w:rPr>
          <w:b/>
          <w:i w:val="0"/>
          <w:color w:val="14352A"/>
          <w:sz w:val="28"/>
        </w:rPr>
        <w:t>10. Gate 3 — Validation &amp; Filing Approval</w:t>
      </w:r>
    </w:p>
    <w:p>
      <w:pPr>
        <w:spacing w:after="120"/>
      </w:pPr>
      <w:r>
        <w:rPr>
          <w:b w:val="0"/>
          <w:i/>
          <w:sz w:val="20"/>
        </w:rPr>
        <w:t>Convenes 28 October 2027; releases $4,330,000.</w:t>
      </w:r>
      <w:r>
        <w:rPr>
          <w:b w:val="0"/>
          <w:i w:val="0"/>
          <w:sz w:val="20"/>
        </w:rPr>
        <w:t xml:space="preserve"> This is the gate at which an external party — the regulator — holds a decisive input the program cannot influence, which is why the must-meet list here is almost entirely outside the team's control.</w:t>
      </w:r>
    </w:p>
    <w:p>
      <w:pPr>
        <w:spacing w:before="200" w:after="80"/>
      </w:pPr>
      <w:r>
        <w:rPr>
          <w:b/>
          <w:i w:val="0"/>
          <w:color w:val="1B2130"/>
          <w:sz w:val="21"/>
        </w:rPr>
        <w:t>Must-meet</w:t>
      </w:r>
    </w:p>
    <w:p>
      <w:pPr>
        <w:pStyle w:val="ListBullet"/>
        <w:spacing w:after="60"/>
      </w:pPr>
      <w:r>
        <w:rPr>
          <w:b w:val="0"/>
          <w:i w:val="0"/>
          <w:sz w:val="20"/>
        </w:rPr>
        <w:t>Compact approval obtained, or a dated approval path confirmed in writing.</w:t>
      </w:r>
    </w:p>
    <w:p>
      <w:pPr>
        <w:pStyle w:val="ListBullet"/>
        <w:spacing w:after="60"/>
      </w:pPr>
      <w:r>
        <w:rPr>
          <w:b w:val="0"/>
          <w:i w:val="0"/>
          <w:sz w:val="20"/>
        </w:rPr>
        <w:t>Non-Compact state approvals obtained or scheduled within the launch window.</w:t>
      </w:r>
    </w:p>
    <w:p>
      <w:pPr>
        <w:pStyle w:val="ListBullet"/>
        <w:spacing w:after="60"/>
      </w:pPr>
      <w:r>
        <w:rPr>
          <w:b w:val="0"/>
          <w:i w:val="0"/>
          <w:sz w:val="20"/>
        </w:rPr>
        <w:t>Actuarial sign-off on final rates and reserve adequacy.</w:t>
      </w:r>
    </w:p>
    <w:p>
      <w:pPr>
        <w:pStyle w:val="ListBullet"/>
        <w:spacing w:after="60"/>
      </w:pPr>
      <w:r>
        <w:rPr>
          <w:b w:val="0"/>
          <w:i w:val="0"/>
          <w:sz w:val="20"/>
        </w:rPr>
        <w:t>Product still clears the hurdle rate at approved rates and current capital treatment.</w:t>
      </w:r>
    </w:p>
    <w:p>
      <w:pPr>
        <w:pStyle w:val="ListBullet"/>
        <w:spacing w:after="60"/>
      </w:pPr>
      <w:r>
        <w:rPr>
          <w:b w:val="0"/>
          <w:i w:val="0"/>
          <w:sz w:val="20"/>
        </w:rPr>
        <w:t>Hedging capability demonstrated, not merely planned.</w:t>
      </w:r>
    </w:p>
    <w:p>
      <w:pPr>
        <w:spacing w:before="200" w:after="80"/>
      </w:pPr>
      <w:r>
        <w:rPr>
          <w:b/>
          <w:i w:val="0"/>
          <w:color w:val="1B2130"/>
          <w:sz w:val="21"/>
        </w:rPr>
        <w:t>Should-meet</w:t>
      </w:r>
    </w:p>
    <w:tbl>
      <w:tblPr>
        <w:tblStyle w:val="TableGrid"/>
        <w:tblW w:type="auto" w:w="0"/>
        <w:jc w:val="center"/>
        <w:tblLook w:firstColumn="1" w:firstRow="1" w:lastColumn="0" w:lastRow="0" w:noHBand="0" w:noVBand="1" w:val="04A0"/>
      </w:tblPr>
      <w:tblGrid>
        <w:gridCol w:w="4824"/>
        <w:gridCol w:w="4824"/>
      </w:tblGrid>
      <w:tr>
        <w:tc>
          <w:tcPr>
            <w:tcW w:type="dxa" w:w="4824"/>
            <w:shd w:val="clear" w:fill="14352A"/>
          </w:tcPr>
          <w:p>
            <w:pPr>
              <w:spacing w:before="40" w:after="40"/>
            </w:pPr>
            <w:r>
              <w:rPr>
                <w:b/>
                <w:i w:val="0"/>
                <w:color w:val="FFFFFF"/>
                <w:sz w:val="17"/>
              </w:rPr>
              <w:t>Criterion</w:t>
            </w:r>
          </w:p>
        </w:tc>
        <w:tc>
          <w:tcPr>
            <w:tcW w:type="dxa" w:w="4824"/>
            <w:shd w:val="clear" w:fill="14352A"/>
          </w:tcPr>
          <w:p>
            <w:pPr>
              <w:spacing w:before="40" w:after="40"/>
            </w:pPr>
            <w:r>
              <w:rPr>
                <w:b/>
                <w:i w:val="0"/>
                <w:color w:val="FFFFFF"/>
                <w:sz w:val="17"/>
              </w:rPr>
              <w:t>Weight</w:t>
            </w:r>
          </w:p>
        </w:tc>
      </w:tr>
      <w:tr>
        <w:tc>
          <w:tcPr>
            <w:tcW w:type="dxa" w:w="4824"/>
          </w:tcPr>
          <w:p>
            <w:pPr>
              <w:spacing w:before="40" w:after="40"/>
            </w:pPr>
            <w:r>
              <w:rPr>
                <w:b w:val="0"/>
                <w:i w:val="0"/>
                <w:sz w:val="17"/>
              </w:rPr>
              <w:t>Breadth of approved jurisdictions against the launch plan</w:t>
            </w:r>
          </w:p>
        </w:tc>
        <w:tc>
          <w:tcPr>
            <w:tcW w:type="dxa" w:w="4824"/>
          </w:tcPr>
          <w:p>
            <w:pPr>
              <w:spacing w:before="40" w:after="40"/>
            </w:pPr>
            <w:r>
              <w:rPr>
                <w:b w:val="0"/>
                <w:i w:val="0"/>
                <w:sz w:val="17"/>
              </w:rPr>
              <w:t>25%</w:t>
            </w:r>
          </w:p>
        </w:tc>
      </w:tr>
      <w:tr>
        <w:tc>
          <w:tcPr>
            <w:tcW w:type="dxa" w:w="4824"/>
          </w:tcPr>
          <w:p>
            <w:pPr>
              <w:spacing w:before="40" w:after="40"/>
            </w:pPr>
            <w:r>
              <w:rPr>
                <w:b w:val="0"/>
                <w:i w:val="0"/>
                <w:sz w:val="17"/>
              </w:rPr>
              <w:t>Validation results — end-to-end issue, illustration and servicing</w:t>
            </w:r>
          </w:p>
        </w:tc>
        <w:tc>
          <w:tcPr>
            <w:tcW w:type="dxa" w:w="4824"/>
          </w:tcPr>
          <w:p>
            <w:pPr>
              <w:spacing w:before="40" w:after="40"/>
            </w:pPr>
            <w:r>
              <w:rPr>
                <w:b w:val="0"/>
                <w:i w:val="0"/>
                <w:sz w:val="17"/>
              </w:rPr>
              <w:t>25%</w:t>
            </w:r>
          </w:p>
        </w:tc>
      </w:tr>
      <w:tr>
        <w:tc>
          <w:tcPr>
            <w:tcW w:type="dxa" w:w="4824"/>
          </w:tcPr>
          <w:p>
            <w:pPr>
              <w:spacing w:before="40" w:after="40"/>
            </w:pPr>
            <w:r>
              <w:rPr>
                <w:b w:val="0"/>
                <w:i w:val="0"/>
                <w:sz w:val="17"/>
              </w:rPr>
              <w:t>Retained economics at approved rates</w:t>
            </w:r>
          </w:p>
        </w:tc>
        <w:tc>
          <w:tcPr>
            <w:tcW w:type="dxa" w:w="4824"/>
          </w:tcPr>
          <w:p>
            <w:pPr>
              <w:spacing w:before="40" w:after="40"/>
            </w:pPr>
            <w:r>
              <w:rPr>
                <w:b w:val="0"/>
                <w:i w:val="0"/>
                <w:sz w:val="17"/>
              </w:rPr>
              <w:t>25%</w:t>
            </w:r>
          </w:p>
        </w:tc>
      </w:tr>
      <w:tr>
        <w:tc>
          <w:tcPr>
            <w:tcW w:type="dxa" w:w="4824"/>
          </w:tcPr>
          <w:p>
            <w:pPr>
              <w:spacing w:before="40" w:after="40"/>
            </w:pPr>
            <w:r>
              <w:rPr>
                <w:b w:val="0"/>
                <w:i w:val="0"/>
                <w:sz w:val="17"/>
              </w:rPr>
              <w:t>Operational readiness of new business and policyholder services</w:t>
            </w:r>
          </w:p>
        </w:tc>
        <w:tc>
          <w:tcPr>
            <w:tcW w:type="dxa" w:w="4824"/>
          </w:tcPr>
          <w:p>
            <w:pPr>
              <w:spacing w:before="40" w:after="40"/>
            </w:pPr>
            <w:r>
              <w:rPr>
                <w:b w:val="0"/>
                <w:i w:val="0"/>
                <w:sz w:val="17"/>
              </w:rPr>
              <w:t>15%</w:t>
            </w:r>
          </w:p>
        </w:tc>
      </w:tr>
      <w:tr>
        <w:tc>
          <w:tcPr>
            <w:tcW w:type="dxa" w:w="4824"/>
          </w:tcPr>
          <w:p>
            <w:pPr>
              <w:spacing w:before="40" w:after="40"/>
            </w:pPr>
            <w:r>
              <w:rPr>
                <w:b w:val="0"/>
                <w:i w:val="0"/>
                <w:sz w:val="17"/>
              </w:rPr>
              <w:t>Residual risk position against the register</w:t>
            </w:r>
          </w:p>
        </w:tc>
        <w:tc>
          <w:tcPr>
            <w:tcW w:type="dxa" w:w="4824"/>
          </w:tcPr>
          <w:p>
            <w:pPr>
              <w:spacing w:before="40" w:after="40"/>
            </w:pPr>
            <w:r>
              <w:rPr>
                <w:b w:val="0"/>
                <w:i w:val="0"/>
                <w:sz w:val="17"/>
              </w:rPr>
              <w:t>10%</w:t>
            </w:r>
          </w:p>
        </w:tc>
      </w:tr>
    </w:tbl>
    <w:p/>
    <w:p>
      <w:pPr>
        <w:spacing w:before="280" w:after="80"/>
      </w:pPr>
      <w:r>
        <w:rPr>
          <w:b/>
          <w:i w:val="0"/>
          <w:color w:val="14352A"/>
          <w:sz w:val="28"/>
        </w:rPr>
        <w:t>11. Gate 4 — Launch Readiness</w:t>
      </w:r>
    </w:p>
    <w:p>
      <w:pPr>
        <w:spacing w:after="120"/>
      </w:pPr>
      <w:r>
        <w:rPr>
          <w:b w:val="0"/>
          <w:i/>
          <w:sz w:val="20"/>
        </w:rPr>
        <w:t>Convenes 24 February 2028; authorises launch on 06 March 2028.</w:t>
      </w:r>
      <w:r>
        <w:rPr>
          <w:b w:val="0"/>
          <w:i w:val="0"/>
          <w:sz w:val="20"/>
        </w:rPr>
        <w:t xml:space="preserve"> Gate 4 releases no new tranche. It answers whether the organisation can sell and service what it has built, and the weighting shifts decisively toward execution.</w:t>
      </w:r>
    </w:p>
    <w:p>
      <w:pPr>
        <w:spacing w:before="200" w:after="80"/>
      </w:pPr>
      <w:r>
        <w:rPr>
          <w:b/>
          <w:i w:val="0"/>
          <w:color w:val="1B2130"/>
          <w:sz w:val="21"/>
        </w:rPr>
        <w:t>Must-meet</w:t>
      </w:r>
    </w:p>
    <w:p>
      <w:pPr>
        <w:pStyle w:val="ListBullet"/>
        <w:spacing w:after="60"/>
      </w:pPr>
      <w:r>
        <w:rPr>
          <w:b w:val="0"/>
          <w:i w:val="0"/>
          <w:sz w:val="20"/>
        </w:rPr>
        <w:t>Producers appointed and licensed in sufficient number to support the launch plan.</w:t>
      </w:r>
    </w:p>
    <w:p>
      <w:pPr>
        <w:pStyle w:val="ListBullet"/>
        <w:spacing w:after="60"/>
      </w:pPr>
      <w:r>
        <w:rPr>
          <w:b w:val="0"/>
          <w:i w:val="0"/>
          <w:sz w:val="20"/>
        </w:rPr>
        <w:t>Suitability and best-interest training delivered and recorded for the launch channel.</w:t>
      </w:r>
    </w:p>
    <w:p>
      <w:pPr>
        <w:pStyle w:val="ListBullet"/>
        <w:spacing w:after="60"/>
      </w:pPr>
      <w:r>
        <w:rPr>
          <w:b w:val="0"/>
          <w:i w:val="0"/>
          <w:sz w:val="20"/>
        </w:rPr>
        <w:t>New business and servicing processes tested end to end with trained staff.</w:t>
      </w:r>
    </w:p>
    <w:p>
      <w:pPr>
        <w:pStyle w:val="ListBullet"/>
        <w:spacing w:after="60"/>
      </w:pPr>
      <w:r>
        <w:rPr>
          <w:b w:val="0"/>
          <w:i w:val="0"/>
          <w:sz w:val="20"/>
        </w:rPr>
        <w:t>Hedging live and operating against a shadow book.</w:t>
      </w:r>
    </w:p>
    <w:p>
      <w:pPr>
        <w:pStyle w:val="ListBullet"/>
        <w:spacing w:after="60"/>
      </w:pPr>
      <w:r>
        <w:rPr>
          <w:b w:val="0"/>
          <w:i w:val="0"/>
          <w:sz w:val="20"/>
        </w:rPr>
        <w:t>Complaint handling, disclosure and market conduct controls operational.</w:t>
      </w:r>
    </w:p>
    <w:p>
      <w:pPr>
        <w:spacing w:before="200" w:after="80"/>
      </w:pPr>
      <w:r>
        <w:rPr>
          <w:b/>
          <w:i w:val="0"/>
          <w:color w:val="1B2130"/>
          <w:sz w:val="21"/>
        </w:rPr>
        <w:t>Should-meet</w:t>
      </w:r>
    </w:p>
    <w:tbl>
      <w:tblPr>
        <w:tblStyle w:val="TableGrid"/>
        <w:tblW w:type="auto" w:w="0"/>
        <w:jc w:val="center"/>
        <w:tblLook w:firstColumn="1" w:firstRow="1" w:lastColumn="0" w:lastRow="0" w:noHBand="0" w:noVBand="1" w:val="04A0"/>
      </w:tblPr>
      <w:tblGrid>
        <w:gridCol w:w="4824"/>
        <w:gridCol w:w="4824"/>
      </w:tblGrid>
      <w:tr>
        <w:tc>
          <w:tcPr>
            <w:tcW w:type="dxa" w:w="4824"/>
            <w:shd w:val="clear" w:fill="14352A"/>
          </w:tcPr>
          <w:p>
            <w:pPr>
              <w:spacing w:before="40" w:after="40"/>
            </w:pPr>
            <w:r>
              <w:rPr>
                <w:b/>
                <w:i w:val="0"/>
                <w:color w:val="FFFFFF"/>
                <w:sz w:val="17"/>
              </w:rPr>
              <w:t>Criterion</w:t>
            </w:r>
          </w:p>
        </w:tc>
        <w:tc>
          <w:tcPr>
            <w:tcW w:type="dxa" w:w="4824"/>
            <w:shd w:val="clear" w:fill="14352A"/>
          </w:tcPr>
          <w:p>
            <w:pPr>
              <w:spacing w:before="40" w:after="40"/>
            </w:pPr>
            <w:r>
              <w:rPr>
                <w:b/>
                <w:i w:val="0"/>
                <w:color w:val="FFFFFF"/>
                <w:sz w:val="17"/>
              </w:rPr>
              <w:t>Weight</w:t>
            </w:r>
          </w:p>
        </w:tc>
      </w:tr>
      <w:tr>
        <w:tc>
          <w:tcPr>
            <w:tcW w:type="dxa" w:w="4824"/>
          </w:tcPr>
          <w:p>
            <w:pPr>
              <w:spacing w:before="40" w:after="40"/>
            </w:pPr>
            <w:r>
              <w:rPr>
                <w:b w:val="0"/>
                <w:i w:val="0"/>
                <w:sz w:val="17"/>
              </w:rPr>
              <w:t>Distribution readiness — wholesaler coverage and pipeline</w:t>
            </w:r>
          </w:p>
        </w:tc>
        <w:tc>
          <w:tcPr>
            <w:tcW w:type="dxa" w:w="4824"/>
          </w:tcPr>
          <w:p>
            <w:pPr>
              <w:spacing w:before="40" w:after="40"/>
            </w:pPr>
            <w:r>
              <w:rPr>
                <w:b w:val="0"/>
                <w:i w:val="0"/>
                <w:sz w:val="17"/>
              </w:rPr>
              <w:t>30%</w:t>
            </w:r>
          </w:p>
        </w:tc>
      </w:tr>
      <w:tr>
        <w:tc>
          <w:tcPr>
            <w:tcW w:type="dxa" w:w="4824"/>
          </w:tcPr>
          <w:p>
            <w:pPr>
              <w:spacing w:before="40" w:after="40"/>
            </w:pPr>
            <w:r>
              <w:rPr>
                <w:b w:val="0"/>
                <w:i w:val="0"/>
                <w:sz w:val="17"/>
              </w:rPr>
              <w:t>Operational readiness — capacity against forecast volumes</w:t>
            </w:r>
          </w:p>
        </w:tc>
        <w:tc>
          <w:tcPr>
            <w:tcW w:type="dxa" w:w="4824"/>
          </w:tcPr>
          <w:p>
            <w:pPr>
              <w:spacing w:before="40" w:after="40"/>
            </w:pPr>
            <w:r>
              <w:rPr>
                <w:b w:val="0"/>
                <w:i w:val="0"/>
                <w:sz w:val="17"/>
              </w:rPr>
              <w:t>30%</w:t>
            </w:r>
          </w:p>
        </w:tc>
      </w:tr>
      <w:tr>
        <w:tc>
          <w:tcPr>
            <w:tcW w:type="dxa" w:w="4824"/>
          </w:tcPr>
          <w:p>
            <w:pPr>
              <w:spacing w:before="40" w:after="40"/>
            </w:pPr>
            <w:r>
              <w:rPr>
                <w:b w:val="0"/>
                <w:i w:val="0"/>
                <w:sz w:val="17"/>
              </w:rPr>
              <w:t>Marketing and advisor enablement completeness</w:t>
            </w:r>
          </w:p>
        </w:tc>
        <w:tc>
          <w:tcPr>
            <w:tcW w:type="dxa" w:w="4824"/>
          </w:tcPr>
          <w:p>
            <w:pPr>
              <w:spacing w:before="40" w:after="40"/>
            </w:pPr>
            <w:r>
              <w:rPr>
                <w:b w:val="0"/>
                <w:i w:val="0"/>
                <w:sz w:val="17"/>
              </w:rPr>
              <w:t>20%</w:t>
            </w:r>
          </w:p>
        </w:tc>
      </w:tr>
      <w:tr>
        <w:tc>
          <w:tcPr>
            <w:tcW w:type="dxa" w:w="4824"/>
          </w:tcPr>
          <w:p>
            <w:pPr>
              <w:spacing w:before="40" w:after="40"/>
            </w:pPr>
            <w:r>
              <w:rPr>
                <w:b w:val="0"/>
                <w:i w:val="0"/>
                <w:sz w:val="17"/>
              </w:rPr>
              <w:t>Competitive position at launch rates</w:t>
            </w:r>
          </w:p>
        </w:tc>
        <w:tc>
          <w:tcPr>
            <w:tcW w:type="dxa" w:w="4824"/>
          </w:tcPr>
          <w:p>
            <w:pPr>
              <w:spacing w:before="40" w:after="40"/>
            </w:pPr>
            <w:r>
              <w:rPr>
                <w:b w:val="0"/>
                <w:i w:val="0"/>
                <w:sz w:val="17"/>
              </w:rPr>
              <w:t>20%</w:t>
            </w:r>
          </w:p>
        </w:tc>
      </w:tr>
    </w:tbl>
    <w:p/>
    <w:p>
      <w:pPr>
        <w:spacing w:before="280" w:after="80"/>
      </w:pPr>
      <w:r>
        <w:rPr>
          <w:b/>
          <w:i w:val="0"/>
          <w:color w:val="14352A"/>
          <w:sz w:val="28"/>
        </w:rPr>
        <w:t>12. Gate 5 — Post-Launch Review</w:t>
      </w:r>
    </w:p>
    <w:p>
      <w:pPr>
        <w:spacing w:after="120"/>
      </w:pPr>
      <w:r>
        <w:rPr>
          <w:b w:val="0"/>
          <w:i/>
          <w:sz w:val="20"/>
        </w:rPr>
        <w:t>Convenes 07 September 2028, reviewing the window 06 Mar 2028 to 01 Sep 2028.</w:t>
      </w:r>
      <w:r>
        <w:rPr>
          <w:b w:val="0"/>
          <w:i w:val="0"/>
          <w:sz w:val="20"/>
        </w:rPr>
        <w:t xml:space="preserve"> Gate 5 is not an authorisation gate and does not use the score bands. It cannot stop a product already in the market. It exists to hold the business case to account and to transfer benefit ownership to the operating line.</w:t>
      </w:r>
    </w:p>
    <w:p>
      <w:pPr>
        <w:spacing w:before="200" w:after="80"/>
      </w:pPr>
      <w:r>
        <w:rPr>
          <w:b/>
          <w:i w:val="0"/>
          <w:color w:val="1B2130"/>
          <w:sz w:val="21"/>
        </w:rPr>
        <w:t>What Gate 5 assesses</w:t>
      </w:r>
    </w:p>
    <w:p>
      <w:pPr>
        <w:pStyle w:val="ListNumber"/>
        <w:spacing w:after="60"/>
      </w:pPr>
      <w:r>
        <w:rPr>
          <w:b/>
          <w:i w:val="0"/>
          <w:sz w:val="20"/>
        </w:rPr>
        <w:t>Actual against forecast</w:t>
      </w:r>
      <w:r>
        <w:rPr>
          <w:b w:val="0"/>
          <w:i w:val="0"/>
          <w:sz w:val="20"/>
        </w:rPr>
        <w:t xml:space="preserve"> — sales volume, average case size, crediting strategy mix, persistency and rider election, each against what Gate 1 was told.</w:t>
      </w:r>
    </w:p>
    <w:p>
      <w:pPr>
        <w:pStyle w:val="ListNumber"/>
        <w:spacing w:after="60"/>
      </w:pPr>
      <w:r>
        <w:rPr>
          <w:b/>
          <w:i w:val="0"/>
          <w:sz w:val="20"/>
        </w:rPr>
        <w:t>Where the business case was wrong, and in which direction.</w:t>
      </w:r>
      <w:r>
        <w:rPr>
          <w:b w:val="0"/>
          <w:i w:val="0"/>
          <w:sz w:val="20"/>
        </w:rPr>
        <w:t xml:space="preserve"> Recorded specifically, not as an aggregate variance.</w:t>
      </w:r>
    </w:p>
    <w:p>
      <w:pPr>
        <w:pStyle w:val="ListNumber"/>
        <w:spacing w:after="60"/>
      </w:pPr>
      <w:r>
        <w:rPr>
          <w:b/>
          <w:i w:val="0"/>
          <w:sz w:val="20"/>
        </w:rPr>
        <w:t>Whether the conditions issued at Gate 1 achieved what they were issued to achieve.</w:t>
      </w:r>
      <w:r>
        <w:rPr>
          <w:b w:val="0"/>
          <w:i w:val="0"/>
          <w:sz w:val="20"/>
        </w:rPr>
        <w:t xml:space="preserve"> A condition that closed on schedule and changed nothing is a finding.</w:t>
      </w:r>
    </w:p>
    <w:p>
      <w:pPr>
        <w:pStyle w:val="ListNumber"/>
        <w:spacing w:after="60"/>
      </w:pPr>
      <w:r>
        <w:rPr>
          <w:b/>
          <w:i w:val="0"/>
          <w:sz w:val="20"/>
        </w:rPr>
        <w:t>Whether Board decisions departed from the score bands</w:t>
      </w:r>
      <w:r>
        <w:rPr>
          <w:b w:val="0"/>
          <w:i w:val="0"/>
          <w:sz w:val="20"/>
        </w:rPr>
        <w:t>, and whether those departures proved sound (§5).</w:t>
      </w:r>
    </w:p>
    <w:p>
      <w:pPr>
        <w:pStyle w:val="ListNumber"/>
        <w:spacing w:after="60"/>
      </w:pPr>
      <w:r>
        <w:rPr>
          <w:b/>
          <w:i w:val="0"/>
          <w:sz w:val="20"/>
        </w:rPr>
        <w:t>Benefit ownership transfer</w:t>
      </w:r>
      <w:r>
        <w:rPr>
          <w:b w:val="0"/>
          <w:i w:val="0"/>
          <w:sz w:val="20"/>
        </w:rPr>
        <w:t xml:space="preserve"> to the product line, with named owners and a measurement cadence that outlives the program.</w:t>
      </w:r>
    </w:p>
    <w:tbl>
      <w:tblPr>
        <w:tblStyle w:val="TableGrid"/>
        <w:tblW w:type="auto" w:w="0"/>
        <w:tblLook w:firstColumn="1" w:firstRow="1" w:lastColumn="0" w:lastRow="0" w:noHBand="0" w:noVBand="1" w:val="04A0"/>
      </w:tblPr>
      <w:tblGrid>
        <w:gridCol w:w="9648"/>
      </w:tblGrid>
      <w:tr>
        <w:tc>
          <w:tcPr>
            <w:tcW w:type="dxa" w:w="9648"/>
            <w:shd w:val="clear" w:fill="E8F1ED"/>
          </w:tcPr>
          <w:p>
            <w:pPr>
              <w:spacing w:after="120"/>
            </w:pPr>
            <w:r>
              <w:rPr>
                <w:b w:val="0"/>
                <w:i w:val="0"/>
                <w:sz w:val="20"/>
              </w:rPr>
              <w:t xml:space="preserve"> A program that never holds Gate 5 has no mechanism by which its own forecasts are ever checked against what happened. That is how optimistic business cases stop being a mistake and become a habit: nobody is ever present at the moment the forecast is disproved. </w:t>
            </w:r>
          </w:p>
        </w:tc>
      </w:tr>
    </w:tbl>
    <w:p/>
    <w:p>
      <w:pPr>
        <w:spacing w:before="360"/>
      </w:pPr>
      <w:r>
        <w:rPr>
          <w:b/>
          <w:i w:val="0"/>
          <w:color w:val="1E5945"/>
          <w:sz w:val="22"/>
        </w:rPr>
        <w:t>Part III — The Record</w:t>
      </w:r>
    </w:p>
    <w:p>
      <w:pPr>
        <w:spacing w:before="280" w:after="80"/>
      </w:pPr>
      <w:r>
        <w:rPr>
          <w:b/>
          <w:i w:val="0"/>
          <w:color w:val="14352A"/>
          <w:sz w:val="28"/>
        </w:rPr>
        <w:t>13. Scored Record — Gates Held to Date</w:t>
      </w:r>
    </w:p>
    <w:tbl>
      <w:tblPr>
        <w:tblStyle w:val="TableGrid"/>
        <w:tblW w:type="auto" w:w="0"/>
        <w:jc w:val="center"/>
        <w:tblLook w:firstColumn="1" w:firstRow="1" w:lastColumn="0" w:lastRow="0" w:noHBand="0" w:noVBand="1" w:val="04A0"/>
      </w:tblPr>
      <w:tblGrid>
        <w:gridCol w:w="1608"/>
        <w:gridCol w:w="1608"/>
        <w:gridCol w:w="1608"/>
        <w:gridCol w:w="1608"/>
        <w:gridCol w:w="1608"/>
        <w:gridCol w:w="1608"/>
      </w:tblGrid>
      <w:tr>
        <w:tc>
          <w:tcPr>
            <w:tcW w:type="dxa" w:w="1608"/>
            <w:shd w:val="clear" w:fill="14352A"/>
          </w:tcPr>
          <w:p>
            <w:pPr>
              <w:spacing w:before="40" w:after="40"/>
            </w:pPr>
            <w:r>
              <w:rPr>
                <w:b/>
                <w:i w:val="0"/>
                <w:color w:val="FFFFFF"/>
                <w:sz w:val="17"/>
              </w:rPr>
              <w:t>Gate</w:t>
            </w:r>
          </w:p>
        </w:tc>
        <w:tc>
          <w:tcPr>
            <w:tcW w:type="dxa" w:w="1608"/>
            <w:shd w:val="clear" w:fill="14352A"/>
          </w:tcPr>
          <w:p>
            <w:pPr>
              <w:spacing w:before="40" w:after="40"/>
            </w:pPr>
            <w:r>
              <w:rPr>
                <w:b/>
                <w:i w:val="0"/>
                <w:color w:val="FFFFFF"/>
                <w:sz w:val="17"/>
              </w:rPr>
              <w:t>Date</w:t>
            </w:r>
          </w:p>
        </w:tc>
        <w:tc>
          <w:tcPr>
            <w:tcW w:type="dxa" w:w="1608"/>
            <w:shd w:val="clear" w:fill="14352A"/>
          </w:tcPr>
          <w:p>
            <w:pPr>
              <w:spacing w:before="40" w:after="40"/>
            </w:pPr>
            <w:r>
              <w:rPr>
                <w:b/>
                <w:i w:val="0"/>
                <w:color w:val="FFFFFF"/>
                <w:sz w:val="17"/>
              </w:rPr>
              <w:t>Must-meet</w:t>
            </w:r>
          </w:p>
        </w:tc>
        <w:tc>
          <w:tcPr>
            <w:tcW w:type="dxa" w:w="1608"/>
            <w:shd w:val="clear" w:fill="14352A"/>
          </w:tcPr>
          <w:p>
            <w:pPr>
              <w:spacing w:before="40" w:after="40"/>
            </w:pPr>
            <w:r>
              <w:rPr>
                <w:b/>
                <w:i w:val="0"/>
                <w:color w:val="FFFFFF"/>
                <w:sz w:val="17"/>
              </w:rPr>
              <w:t>Weighted score</w:t>
            </w:r>
          </w:p>
        </w:tc>
        <w:tc>
          <w:tcPr>
            <w:tcW w:type="dxa" w:w="1608"/>
            <w:shd w:val="clear" w:fill="14352A"/>
          </w:tcPr>
          <w:p>
            <w:pPr>
              <w:spacing w:before="40" w:after="40"/>
            </w:pPr>
            <w:r>
              <w:rPr>
                <w:b/>
                <w:i w:val="0"/>
                <w:color w:val="FFFFFF"/>
                <w:sz w:val="17"/>
              </w:rPr>
              <w:t>Band</w:t>
            </w:r>
          </w:p>
        </w:tc>
        <w:tc>
          <w:tcPr>
            <w:tcW w:type="dxa" w:w="1608"/>
            <w:shd w:val="clear" w:fill="14352A"/>
          </w:tcPr>
          <w:p>
            <w:pPr>
              <w:spacing w:before="40" w:after="40"/>
            </w:pPr>
            <w:r>
              <w:rPr>
                <w:b/>
                <w:i w:val="0"/>
                <w:color w:val="FFFFFF"/>
                <w:sz w:val="17"/>
              </w:rPr>
              <w:t>Decision</w:t>
            </w:r>
          </w:p>
        </w:tc>
      </w:tr>
      <w:tr>
        <w:tc>
          <w:tcPr>
            <w:tcW w:type="dxa" w:w="1608"/>
          </w:tcPr>
          <w:p>
            <w:pPr>
              <w:spacing w:before="40" w:after="40"/>
            </w:pPr>
            <w:r>
              <w:rPr>
                <w:b w:val="0"/>
                <w:i w:val="0"/>
                <w:sz w:val="17"/>
              </w:rPr>
              <w:t>Gate 0</w:t>
            </w:r>
          </w:p>
        </w:tc>
        <w:tc>
          <w:tcPr>
            <w:tcW w:type="dxa" w:w="1608"/>
          </w:tcPr>
          <w:p>
            <w:pPr>
              <w:spacing w:before="40" w:after="40"/>
            </w:pPr>
            <w:r>
              <w:rPr>
                <w:b w:val="0"/>
                <w:i w:val="0"/>
                <w:sz w:val="17"/>
              </w:rPr>
              <w:t>05 Feb 2026</w:t>
            </w:r>
          </w:p>
        </w:tc>
        <w:tc>
          <w:tcPr>
            <w:tcW w:type="dxa" w:w="1608"/>
          </w:tcPr>
          <w:p>
            <w:pPr>
              <w:spacing w:before="40" w:after="40"/>
            </w:pPr>
            <w:r>
              <w:rPr>
                <w:b w:val="0"/>
                <w:i w:val="0"/>
                <w:sz w:val="17"/>
              </w:rPr>
              <w:t>3 of 3 passed</w:t>
            </w:r>
          </w:p>
        </w:tc>
        <w:tc>
          <w:tcPr>
            <w:tcW w:type="dxa" w:w="1608"/>
          </w:tcPr>
          <w:p>
            <w:pPr>
              <w:spacing w:before="40" w:after="40"/>
            </w:pPr>
            <w:r>
              <w:rPr>
                <w:b/>
                <w:i w:val="0"/>
                <w:sz w:val="17"/>
              </w:rPr>
              <w:t>3.85</w:t>
            </w:r>
          </w:p>
        </w:tc>
        <w:tc>
          <w:tcPr>
            <w:tcW w:type="dxa" w:w="1608"/>
          </w:tcPr>
          <w:p>
            <w:pPr>
              <w:spacing w:before="40" w:after="40"/>
            </w:pPr>
            <w:r>
              <w:rPr>
                <w:b w:val="0"/>
                <w:i w:val="0"/>
                <w:sz w:val="17"/>
              </w:rPr>
              <w:t>GO</w:t>
            </w:r>
          </w:p>
        </w:tc>
        <w:tc>
          <w:tcPr>
            <w:tcW w:type="dxa" w:w="1608"/>
          </w:tcPr>
          <w:p>
            <w:pPr>
              <w:spacing w:before="40" w:after="40"/>
            </w:pPr>
            <w:r>
              <w:rPr>
                <w:b w:val="0"/>
                <w:i w:val="0"/>
                <w:sz w:val="17"/>
              </w:rPr>
              <w:t>GO</w:t>
            </w:r>
            <w:r>
              <w:rPr>
                <w:b w:val="0"/>
                <w:i w:val="0"/>
                <w:sz w:val="17"/>
              </w:rPr>
              <w:t xml:space="preserve"> 5–0</w:t>
            </w:r>
          </w:p>
        </w:tc>
      </w:tr>
      <w:tr>
        <w:tc>
          <w:tcPr>
            <w:tcW w:type="dxa" w:w="1608"/>
          </w:tcPr>
          <w:p>
            <w:pPr>
              <w:spacing w:before="40" w:after="40"/>
            </w:pPr>
            <w:r>
              <w:rPr>
                <w:b w:val="0"/>
                <w:i w:val="0"/>
                <w:sz w:val="17"/>
              </w:rPr>
              <w:t>Gate 1 (first)</w:t>
            </w:r>
          </w:p>
        </w:tc>
        <w:tc>
          <w:tcPr>
            <w:tcW w:type="dxa" w:w="1608"/>
          </w:tcPr>
          <w:p>
            <w:pPr>
              <w:spacing w:before="40" w:after="40"/>
            </w:pPr>
            <w:r>
              <w:rPr>
                <w:b w:val="0"/>
                <w:i w:val="0"/>
                <w:sz w:val="17"/>
              </w:rPr>
              <w:t>30 Apr 2026</w:t>
            </w:r>
          </w:p>
        </w:tc>
        <w:tc>
          <w:tcPr>
            <w:tcW w:type="dxa" w:w="1608"/>
          </w:tcPr>
          <w:p>
            <w:pPr>
              <w:spacing w:before="40" w:after="40"/>
            </w:pPr>
            <w:r>
              <w:rPr>
                <w:b w:val="0"/>
                <w:i w:val="0"/>
                <w:sz w:val="17"/>
              </w:rPr>
              <w:t xml:space="preserve">Not reached — 2 criteria scored </w:t>
            </w:r>
            <w:r>
              <w:rPr>
                <w:b/>
                <w:i w:val="0"/>
                <w:sz w:val="17"/>
              </w:rPr>
              <w:t>U</w:t>
            </w:r>
          </w:p>
        </w:tc>
        <w:tc>
          <w:tcPr>
            <w:tcW w:type="dxa" w:w="1608"/>
          </w:tcPr>
          <w:p>
            <w:pPr>
              <w:spacing w:before="40" w:after="40"/>
            </w:pPr>
            <w:r>
              <w:rPr>
                <w:b/>
                <w:i w:val="0"/>
                <w:sz w:val="17"/>
              </w:rPr>
              <w:t>Not scored</w:t>
            </w:r>
          </w:p>
        </w:tc>
        <w:tc>
          <w:tcPr>
            <w:tcW w:type="dxa" w:w="1608"/>
          </w:tcPr>
          <w:p>
            <w:pPr>
              <w:spacing w:before="40" w:after="40"/>
            </w:pPr>
            <w:r>
              <w:rPr>
                <w:b w:val="0"/>
                <w:i w:val="0"/>
                <w:sz w:val="17"/>
              </w:rPr>
              <w:t>—</w:t>
            </w:r>
          </w:p>
        </w:tc>
        <w:tc>
          <w:tcPr>
            <w:tcW w:type="dxa" w:w="1608"/>
          </w:tcPr>
          <w:p>
            <w:pPr>
              <w:spacing w:before="40" w:after="40"/>
            </w:pPr>
            <w:r>
              <w:rPr>
                <w:b w:val="0"/>
                <w:i w:val="0"/>
                <w:sz w:val="17"/>
              </w:rPr>
              <w:t>RECYCLE</w:t>
            </w:r>
          </w:p>
        </w:tc>
      </w:tr>
      <w:tr>
        <w:tc>
          <w:tcPr>
            <w:tcW w:type="dxa" w:w="1608"/>
          </w:tcPr>
          <w:p>
            <w:pPr>
              <w:spacing w:before="40" w:after="40"/>
            </w:pPr>
            <w:r>
              <w:rPr>
                <w:b w:val="0"/>
                <w:i w:val="0"/>
                <w:sz w:val="17"/>
              </w:rPr>
              <w:t>Gate 1 (returned)</w:t>
            </w:r>
          </w:p>
        </w:tc>
        <w:tc>
          <w:tcPr>
            <w:tcW w:type="dxa" w:w="1608"/>
          </w:tcPr>
          <w:p>
            <w:pPr>
              <w:spacing w:before="40" w:after="40"/>
            </w:pPr>
            <w:r>
              <w:rPr>
                <w:b w:val="0"/>
                <w:i w:val="0"/>
                <w:sz w:val="17"/>
              </w:rPr>
              <w:t>11 Jun 2026</w:t>
            </w:r>
          </w:p>
        </w:tc>
        <w:tc>
          <w:tcPr>
            <w:tcW w:type="dxa" w:w="1608"/>
          </w:tcPr>
          <w:p>
            <w:pPr>
              <w:spacing w:before="40" w:after="40"/>
            </w:pPr>
            <w:r>
              <w:rPr>
                <w:b w:val="0"/>
                <w:i w:val="0"/>
                <w:sz w:val="17"/>
              </w:rPr>
              <w:t>5 of 5 passed</w:t>
            </w:r>
          </w:p>
        </w:tc>
        <w:tc>
          <w:tcPr>
            <w:tcW w:type="dxa" w:w="1608"/>
          </w:tcPr>
          <w:p>
            <w:pPr>
              <w:spacing w:before="40" w:after="40"/>
            </w:pPr>
            <w:r>
              <w:rPr>
                <w:b/>
                <w:i w:val="0"/>
                <w:sz w:val="17"/>
              </w:rPr>
              <w:t>3.20</w:t>
            </w:r>
          </w:p>
        </w:tc>
        <w:tc>
          <w:tcPr>
            <w:tcW w:type="dxa" w:w="1608"/>
          </w:tcPr>
          <w:p>
            <w:pPr>
              <w:spacing w:before="40" w:after="40"/>
            </w:pPr>
            <w:r>
              <w:rPr>
                <w:b w:val="0"/>
                <w:i w:val="0"/>
                <w:sz w:val="17"/>
              </w:rPr>
              <w:t>CONDITIONS</w:t>
            </w:r>
          </w:p>
        </w:tc>
        <w:tc>
          <w:tcPr>
            <w:tcW w:type="dxa" w:w="1608"/>
          </w:tcPr>
          <w:p>
            <w:pPr>
              <w:spacing w:before="40" w:after="40"/>
            </w:pPr>
            <w:r>
              <w:rPr>
                <w:b w:val="0"/>
                <w:i w:val="0"/>
                <w:sz w:val="17"/>
              </w:rPr>
              <w:t>GO WITH CONDITIONS</w:t>
            </w:r>
            <w:r>
              <w:rPr>
                <w:b w:val="0"/>
                <w:i w:val="0"/>
                <w:sz w:val="17"/>
              </w:rPr>
              <w:t xml:space="preserve"> 4–0–1</w:t>
            </w:r>
          </w:p>
        </w:tc>
      </w:tr>
      <w:tr>
        <w:tc>
          <w:tcPr>
            <w:tcW w:type="dxa" w:w="1608"/>
          </w:tcPr>
          <w:p>
            <w:pPr>
              <w:spacing w:before="40" w:after="40"/>
            </w:pPr>
            <w:r>
              <w:rPr>
                <w:b w:val="0"/>
                <w:i w:val="0"/>
                <w:sz w:val="17"/>
              </w:rPr>
              <w:t>Gate 2</w:t>
            </w:r>
          </w:p>
        </w:tc>
        <w:tc>
          <w:tcPr>
            <w:tcW w:type="dxa" w:w="1608"/>
          </w:tcPr>
          <w:p>
            <w:pPr>
              <w:spacing w:before="40" w:after="40"/>
            </w:pPr>
            <w:r>
              <w:rPr>
                <w:b w:val="0"/>
                <w:i w:val="0"/>
                <w:sz w:val="17"/>
              </w:rPr>
              <w:t>01 Apr 2027</w:t>
            </w:r>
          </w:p>
        </w:tc>
        <w:tc>
          <w:tcPr>
            <w:tcW w:type="dxa" w:w="6432"/>
            <w:gridSpan w:val="4"/>
          </w:tcPr>
          <w:p>
            <w:pPr>
              <w:spacing w:before="40" w:after="40"/>
            </w:pPr>
            <w:r>
              <w:rPr>
                <w:b w:val="0"/>
                <w:i w:val="0"/>
                <w:sz w:val="17"/>
              </w:rPr>
              <w:t>Not yet convened</w:t>
            </w:r>
            <w:r>
              <w:rPr>
                <w:b w:val="0"/>
                <w:i w:val="0"/>
                <w:sz w:val="17"/>
              </w:rPr>
              <w:t xml:space="preserve"> — criteria fixed at §9; GC-03 and GC-05 must close first</w:t>
            </w:r>
          </w:p>
        </w:tc>
      </w:tr>
    </w:tbl>
    <w:p/>
    <w:p>
      <w:pPr>
        <w:spacing w:before="280" w:after="80"/>
      </w:pPr>
      <w:r>
        <w:rPr>
          <w:b/>
          <w:i w:val="0"/>
          <w:color w:val="14352A"/>
          <w:sz w:val="28"/>
        </w:rPr>
        <w:t>14. Why the Gate 1 Recycle Was Not a Low Score</w:t>
      </w:r>
    </w:p>
    <w:p>
      <w:pPr>
        <w:spacing w:after="120"/>
      </w:pPr>
      <w:r>
        <w:rPr>
          <w:b w:val="0"/>
          <w:i w:val="0"/>
          <w:sz w:val="20"/>
        </w:rPr>
        <w:t xml:space="preserve">The distinction this section draws is the reason the framework has a </w:t>
      </w:r>
      <w:r>
        <w:rPr>
          <w:b/>
          <w:i w:val="0"/>
          <w:sz w:val="20"/>
        </w:rPr>
        <w:t>U</w:t>
      </w:r>
      <w:r>
        <w:rPr>
          <w:b w:val="0"/>
          <w:i w:val="0"/>
          <w:sz w:val="20"/>
        </w:rPr>
        <w:t xml:space="preserve"> value at all, and it is the most frequently misread event in the program's record.</w:t>
      </w:r>
    </w:p>
    <w:p>
      <w:pPr>
        <w:spacing w:after="120"/>
      </w:pPr>
      <w:r>
        <w:rPr>
          <w:b w:val="0"/>
          <w:i w:val="0"/>
          <w:sz w:val="20"/>
        </w:rPr>
        <w:t xml:space="preserve">At the first convening of Gate 1 on 30 April 2026, the package was </w:t>
      </w:r>
      <w:r>
        <w:rPr>
          <w:b/>
          <w:i w:val="0"/>
          <w:sz w:val="20"/>
        </w:rPr>
        <w:t>not scored</w:t>
      </w:r>
      <w:r>
        <w:rPr>
          <w:b w:val="0"/>
          <w:i w:val="0"/>
          <w:sz w:val="20"/>
        </w:rPr>
        <w:t>. Two criteria could not be assessed on the evidence presented:</w:t>
      </w:r>
    </w:p>
    <w:p>
      <w:pPr>
        <w:pStyle w:val="ListNumber"/>
        <w:spacing w:after="60"/>
      </w:pPr>
      <w:r>
        <w:rPr>
          <w:b/>
          <w:i w:val="0"/>
          <w:sz w:val="20"/>
        </w:rPr>
        <w:t>Distribution commitment — U.</w:t>
      </w:r>
      <w:r>
        <w:rPr>
          <w:b w:val="0"/>
          <w:i w:val="0"/>
          <w:sz w:val="20"/>
        </w:rPr>
        <w:t xml:space="preserve"> The volume assumptions had been built from internal channel modelling. No written commitment from any partner was in the pack, and the evidence standard at §4 does not admit a relationship manager's confidence as a substitute.</w:t>
      </w:r>
    </w:p>
    <w:p>
      <w:pPr>
        <w:pStyle w:val="ListNumber"/>
        <w:spacing w:after="60"/>
      </w:pPr>
      <w:r>
        <w:rPr>
          <w:b/>
          <w:i w:val="0"/>
          <w:sz w:val="20"/>
        </w:rPr>
        <w:t>Financial return against hurdle — U.</w:t>
      </w:r>
      <w:r>
        <w:rPr>
          <w:b w:val="0"/>
          <w:i w:val="0"/>
          <w:sz w:val="20"/>
        </w:rPr>
        <w:t xml:space="preserve"> The return calculation used a capital charge that had been superseded. The output was of the right kind but its input was not current, which §4 places outside the standard.</w:t>
      </w:r>
    </w:p>
    <w:p>
      <w:pPr>
        <w:spacing w:after="120"/>
      </w:pPr>
      <w:r>
        <w:rPr>
          <w:b w:val="0"/>
          <w:i w:val="0"/>
          <w:sz w:val="20"/>
        </w:rPr>
        <w:t>Neither finding said the product was weak. Both said the Board could not responsibly form a view either way — and a Board that votes anyway in that position is not governing, it is guessing with a quorum. The package returned on 11 June 2026 with written commitments from three partners and a recomputed return on the current charge, and scored 3.20.</w:t>
      </w:r>
    </w:p>
    <w:tbl>
      <w:tblPr>
        <w:tblStyle w:val="TableGrid"/>
        <w:tblW w:type="auto" w:w="0"/>
        <w:tblLook w:firstColumn="1" w:firstRow="1" w:lastColumn="0" w:lastRow="0" w:noHBand="0" w:noVBand="1" w:val="04A0"/>
      </w:tblPr>
      <w:tblGrid>
        <w:gridCol w:w="9648"/>
      </w:tblGrid>
      <w:tr>
        <w:tc>
          <w:tcPr>
            <w:tcW w:type="dxa" w:w="9648"/>
            <w:shd w:val="clear" w:fill="FDF3DF"/>
          </w:tcPr>
          <w:p>
            <w:pPr>
              <w:spacing w:after="120"/>
            </w:pPr>
            <w:r>
              <w:rPr>
                <w:b/>
                <w:i w:val="0"/>
                <w:sz w:val="20"/>
              </w:rPr>
              <w:t>The counterfactual is the point.</w:t>
            </w:r>
            <w:r>
              <w:rPr>
                <w:b w:val="0"/>
                <w:i w:val="0"/>
                <w:sz w:val="20"/>
              </w:rPr>
              <w:t xml:space="preserve"> Had the two unscoreable criteria been assigned a default 3 instead of a </w:t>
            </w:r>
            <w:r>
              <w:rPr>
                <w:b/>
                <w:i w:val="0"/>
                <w:sz w:val="20"/>
              </w:rPr>
              <w:t>U</w:t>
            </w:r>
            <w:r>
              <w:rPr>
                <w:b w:val="0"/>
                <w:i w:val="0"/>
                <w:sz w:val="20"/>
              </w:rPr>
              <w:t xml:space="preserve">, the package would have scored in the conditions band at the first convening and Stage 2 would have been released on 30 April 2026 — six weeks earlier, and on a distribution assumption that no partner had confirmed and a return computed on a superseded charge. The recycle cost $232,000 and six weeks. Releasing $11,640,000 against unverified volume assumptions would have cost considerably more, and the program would not have found out until Gate 3 at the earliest. </w:t>
            </w:r>
          </w:p>
        </w:tc>
      </w:tr>
    </w:tbl>
    <w:p/>
    <w:p>
      <w:pPr>
        <w:spacing w:after="120"/>
      </w:pPr>
      <w:r>
        <w:rPr>
          <w:b w:val="0"/>
          <w:i w:val="0"/>
          <w:sz w:val="20"/>
        </w:rPr>
        <w:t xml:space="preserve">Recorded as issue </w:t>
      </w:r>
      <w:r>
        <w:rPr>
          <w:b/>
          <w:i w:val="0"/>
          <w:sz w:val="20"/>
        </w:rPr>
        <w:t>I-01</w:t>
      </w:r>
      <w:r>
        <w:rPr>
          <w:b w:val="0"/>
          <w:i w:val="0"/>
          <w:sz w:val="20"/>
        </w:rPr>
        <w:t xml:space="preserve">. The remediation is traceable through conditions </w:t>
      </w:r>
      <w:r>
        <w:rPr>
          <w:b/>
          <w:i w:val="0"/>
          <w:sz w:val="20"/>
        </w:rPr>
        <w:t>GC-04</w:t>
      </w:r>
      <w:r>
        <w:rPr>
          <w:b w:val="0"/>
          <w:i w:val="0"/>
          <w:sz w:val="20"/>
        </w:rPr>
        <w:t xml:space="preserve"> (re-validated volumes) and the corrected capital charge carried into the revised case.</w:t>
      </w:r>
    </w:p>
    <w:p>
      <w:pPr>
        <w:spacing w:before="280" w:after="80"/>
      </w:pPr>
      <w:r>
        <w:rPr>
          <w:b/>
          <w:i w:val="0"/>
          <w:color w:val="14352A"/>
          <w:sz w:val="28"/>
        </w:rPr>
        <w:t>15. Document Control</w:t>
      </w:r>
    </w:p>
    <w:tbl>
      <w:tblPr>
        <w:tblStyle w:val="TableGrid"/>
        <w:tblW w:type="auto" w:w="0"/>
        <w:jc w:val="center"/>
        <w:tblLook w:firstColumn="1" w:firstRow="1" w:lastColumn="0" w:lastRow="0" w:noHBand="0" w:noVBand="1" w:val="04A0"/>
      </w:tblPr>
      <w:tblGrid>
        <w:gridCol w:w="3216"/>
        <w:gridCol w:w="3216"/>
        <w:gridCol w:w="3216"/>
      </w:tblGrid>
      <w:tr>
        <w:tc>
          <w:tcPr>
            <w:tcW w:type="dxa" w:w="3216"/>
            <w:shd w:val="clear" w:fill="14352A"/>
          </w:tcPr>
          <w:p>
            <w:pPr>
              <w:spacing w:before="40" w:after="40"/>
            </w:pPr>
            <w:r>
              <w:rPr>
                <w:b/>
                <w:i w:val="0"/>
                <w:color w:val="FFFFFF"/>
                <w:sz w:val="17"/>
              </w:rPr>
              <w:t>Version</w:t>
            </w:r>
          </w:p>
        </w:tc>
        <w:tc>
          <w:tcPr>
            <w:tcW w:type="dxa" w:w="3216"/>
            <w:shd w:val="clear" w:fill="14352A"/>
          </w:tcPr>
          <w:p>
            <w:pPr>
              <w:spacing w:before="40" w:after="40"/>
            </w:pPr>
            <w:r>
              <w:rPr>
                <w:b/>
                <w:i w:val="0"/>
                <w:color w:val="FFFFFF"/>
                <w:sz w:val="17"/>
              </w:rPr>
              <w:t>Date</w:t>
            </w:r>
          </w:p>
        </w:tc>
        <w:tc>
          <w:tcPr>
            <w:tcW w:type="dxa" w:w="3216"/>
            <w:shd w:val="clear" w:fill="14352A"/>
          </w:tcPr>
          <w:p>
            <w:pPr>
              <w:spacing w:before="40" w:after="40"/>
            </w:pPr>
            <w:r>
              <w:rPr>
                <w:b/>
                <w:i w:val="0"/>
                <w:color w:val="FFFFFF"/>
                <w:sz w:val="17"/>
              </w:rPr>
              <w:t>Change</w:t>
            </w:r>
          </w:p>
        </w:tc>
      </w:tr>
      <w:tr>
        <w:tc>
          <w:tcPr>
            <w:tcW w:type="dxa" w:w="3216"/>
          </w:tcPr>
          <w:p>
            <w:pPr>
              <w:spacing w:before="40" w:after="40"/>
            </w:pPr>
            <w:r>
              <w:rPr>
                <w:b w:val="0"/>
                <w:i w:val="0"/>
                <w:sz w:val="17"/>
              </w:rPr>
              <w:t>1.0</w:t>
            </w:r>
          </w:p>
        </w:tc>
        <w:tc>
          <w:tcPr>
            <w:tcW w:type="dxa" w:w="3216"/>
          </w:tcPr>
          <w:p>
            <w:pPr>
              <w:spacing w:before="40" w:after="40"/>
            </w:pPr>
            <w:r>
              <w:rPr>
                <w:b w:val="0"/>
                <w:i w:val="0"/>
                <w:sz w:val="17"/>
              </w:rPr>
              <w:t>05 Feb 2026</w:t>
            </w:r>
          </w:p>
        </w:tc>
        <w:tc>
          <w:tcPr>
            <w:tcW w:type="dxa" w:w="3216"/>
          </w:tcPr>
          <w:p>
            <w:pPr>
              <w:spacing w:before="40" w:after="40"/>
            </w:pPr>
            <w:r>
              <w:rPr>
                <w:b w:val="0"/>
                <w:i w:val="0"/>
                <w:sz w:val="17"/>
              </w:rPr>
              <w:t>Issued at Gate 0. Two-tier test, scale and bands established; Gate 0 and Gate 1 criteria fixed.</w:t>
            </w:r>
          </w:p>
        </w:tc>
      </w:tr>
      <w:tr>
        <w:tc>
          <w:tcPr>
            <w:tcW w:type="dxa" w:w="3216"/>
          </w:tcPr>
          <w:p>
            <w:pPr>
              <w:spacing w:before="40" w:after="40"/>
            </w:pPr>
            <w:r>
              <w:rPr>
                <w:b w:val="0"/>
                <w:i w:val="0"/>
                <w:sz w:val="17"/>
              </w:rPr>
              <w:t>1.1</w:t>
            </w:r>
          </w:p>
        </w:tc>
        <w:tc>
          <w:tcPr>
            <w:tcW w:type="dxa" w:w="3216"/>
          </w:tcPr>
          <w:p>
            <w:pPr>
              <w:spacing w:before="40" w:after="40"/>
            </w:pPr>
            <w:r>
              <w:rPr>
                <w:b w:val="0"/>
                <w:i w:val="0"/>
                <w:sz w:val="17"/>
              </w:rPr>
              <w:t>30 Apr 2026</w:t>
            </w:r>
          </w:p>
        </w:tc>
        <w:tc>
          <w:tcPr>
            <w:tcW w:type="dxa" w:w="3216"/>
          </w:tcPr>
          <w:p>
            <w:pPr>
              <w:spacing w:before="40" w:after="40"/>
            </w:pPr>
            <w:r>
              <w:rPr>
                <w:b w:val="0"/>
                <w:i w:val="0"/>
                <w:sz w:val="17"/>
              </w:rPr>
              <w:t xml:space="preserve">Evidence standard (§4) tightened following the Gate 1 recycle; the </w:t>
            </w:r>
            <w:r>
              <w:rPr>
                <w:b/>
                <w:i w:val="0"/>
                <w:sz w:val="17"/>
              </w:rPr>
              <w:t>U</w:t>
            </w:r>
            <w:r>
              <w:rPr>
                <w:b w:val="0"/>
                <w:i w:val="0"/>
                <w:sz w:val="17"/>
              </w:rPr>
              <w:t xml:space="preserve"> value formalised on the scale after being applied ad hoc at that gate.</w:t>
            </w:r>
          </w:p>
        </w:tc>
      </w:tr>
      <w:tr>
        <w:tc>
          <w:tcPr>
            <w:tcW w:type="dxa" w:w="3216"/>
          </w:tcPr>
          <w:p>
            <w:pPr>
              <w:spacing w:before="40" w:after="40"/>
            </w:pPr>
            <w:r>
              <w:rPr>
                <w:b w:val="0"/>
                <w:i w:val="0"/>
                <w:sz w:val="17"/>
              </w:rPr>
              <w:t>2.0</w:t>
            </w:r>
          </w:p>
        </w:tc>
        <w:tc>
          <w:tcPr>
            <w:tcW w:type="dxa" w:w="3216"/>
          </w:tcPr>
          <w:p>
            <w:pPr>
              <w:spacing w:before="40" w:after="40"/>
            </w:pPr>
            <w:r>
              <w:rPr>
                <w:b w:val="0"/>
                <w:i w:val="0"/>
                <w:sz w:val="17"/>
              </w:rPr>
              <w:t>11 Jun 2026</w:t>
            </w:r>
          </w:p>
        </w:tc>
        <w:tc>
          <w:tcPr>
            <w:tcW w:type="dxa" w:w="3216"/>
          </w:tcPr>
          <w:p>
            <w:pPr>
              <w:spacing w:before="40" w:after="40"/>
            </w:pPr>
            <w:r>
              <w:rPr>
                <w:b w:val="0"/>
                <w:i w:val="0"/>
                <w:sz w:val="17"/>
              </w:rPr>
              <w:t>Reissued at Gate 1. Criteria and weights fixed for Gates 2, 3 and 4 (§§9–11). Gate 5 defined as a non-authorising accountability gate. Criteria-locking provision added at §6.</w:t>
            </w:r>
          </w:p>
        </w:tc>
      </w:tr>
    </w:tbl>
    <w:p/>
    <w:p>
      <w:pPr>
        <w:spacing w:after="120"/>
      </w:pPr>
      <w:r>
        <w:rPr>
          <w:b w:val="0"/>
          <w:i w:val="0"/>
          <w:sz w:val="20"/>
        </w:rPr>
        <w:t xml:space="preserve">Owner: C. Tyrrell, NPD Program Manager and Chair of the Gate Review Board. Approving authority: the Gate Review Board. Related: </w:t>
      </w:r>
      <w:r>
        <w:rPr>
          <w:b w:val="0"/>
          <w:i w:val="0"/>
          <w:sz w:val="20"/>
        </w:rPr>
        <w:t>Stage-Gate Governance Model &amp; Gate Review Board Charter</w:t>
      </w:r>
      <w:r>
        <w:rPr>
          <w:b w:val="0"/>
          <w:i w:val="0"/>
          <w:sz w:val="20"/>
        </w:rPr>
        <w:t>, Gate Conditions Register, Gate 1 Business Case Package, Gate 1 Recycle Memorandum.</w:t>
      </w:r>
    </w:p>
    <w:p/>
    <w:p>
      <w:pPr>
        <w:jc w:val="left"/>
      </w:pPr>
      <w:r>
        <w:rPr>
          <w:color w:val="5B6472"/>
          <w:sz w:val="15"/>
        </w:rPr>
        <w:t>Lighthouse Financial Services Company — Beacon Index Advantage program. Fictional portfolio artifact produced by C. Tyrrell to</w:t>
        <w:br/>
        <w:t>demonstrate stage-gate new product development governance. No real company, product, person or</w:t>
        <w:br/>
        <w:t>filing is depicted.</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