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color w:val="5B6472"/>
          <w:sz w:val="18"/>
        </w:rPr>
        <w:t>Lighthouse Financial Services Company</w:t>
      </w:r>
    </w:p>
    <w:p>
      <w:r>
        <w:rPr>
          <w:b/>
          <w:color w:val="14352A"/>
          <w:sz w:val="34"/>
        </w:rPr>
        <w:t>Stage-Gate Methodology Guide</w:t>
      </w:r>
    </w:p>
    <w:p>
      <w:r>
        <w:rPr>
          <w:color w:val="1E5945"/>
          <w:sz w:val="18"/>
        </w:rPr>
        <w:t>Reference · Evergreen, Not Gate-Specific</w:t>
      </w:r>
    </w:p>
    <w:p/>
    <w:p>
      <w:pPr>
        <w:spacing w:after="120"/>
      </w:pPr>
      <w:r>
        <w:rPr>
          <w:b/>
          <w:i w:val="0"/>
          <w:sz w:val="20"/>
        </w:rPr>
        <w:t>Lighthouse Financial Services Company</w:t>
      </w:r>
      <w:r>
        <w:rPr>
          <w:b w:val="0"/>
          <w:i w:val="0"/>
          <w:sz w:val="20"/>
        </w:rPr>
        <w:t xml:space="preserve"> — This guide explains the methodology behind the Beacon Index Advantage program for a reader who does not already know stage-gate new product development: what a gate is, where the framework comes from, what it costs to run a program this way, and how it differs from the waterfall, agile and hybrid methodologies used elsewhere in this portfolio. It is a reference document, not a decision package — it does not change when a gate convenes, unlike the </w:t>
      </w:r>
      <w:r>
        <w:rPr>
          <w:b w:val="0"/>
          <w:i w:val="0"/>
          <w:sz w:val="20"/>
        </w:rPr>
        <w:t>Gate 2 Readiness Assessment</w:t>
      </w:r>
      <w:r>
        <w:rPr>
          <w:b w:val="0"/>
          <w:i w:val="0"/>
          <w:sz w:val="20"/>
        </w:rPr>
        <w:t xml:space="preserve"> or the </w:t>
      </w:r>
      <w:r>
        <w:rPr>
          <w:b w:val="0"/>
          <w:i w:val="0"/>
          <w:sz w:val="20"/>
        </w:rPr>
        <w:t>Gate Conditions Register</w:t>
      </w:r>
      <w:r>
        <w:rPr>
          <w:b w:val="0"/>
          <w:i w:val="0"/>
          <w:sz w:val="20"/>
        </w:rPr>
        <w:t>.</w:t>
      </w:r>
    </w:p>
    <w:p>
      <w:pPr>
        <w:spacing w:after="120"/>
      </w:pPr>
      <w:r>
        <w:rPr>
          <w:b/>
          <w:i w:val="0"/>
          <w:sz w:val="20"/>
        </w:rPr>
        <w:t>Contents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Methodology at a Glance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The Gate Structure — Five Gates, Four Stages, Tranche Funding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Where Stage-Gate Comes From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Regulatory Grounding Behind the Product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Why This Program Publishes No Full-Program Earned Value Baseline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Beacon Index Advantage by the Numbers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Roles at a Glance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How This Compares to the Other Five Suites in This Portfolio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Questions &amp; Answers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Related Reading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1. Methodology at a Glance</w:t>
      </w:r>
    </w:p>
    <w:p>
      <w:pPr>
        <w:spacing w:after="120"/>
      </w:pPr>
      <w:r>
        <w:rPr>
          <w:b w:val="0"/>
          <w:i w:val="0"/>
          <w:sz w:val="20"/>
        </w:rPr>
        <w:t>5</w:t>
      </w:r>
    </w:p>
    <w:p>
      <w:pPr>
        <w:spacing w:after="120"/>
      </w:pPr>
      <w:r>
        <w:rPr>
          <w:b w:val="0"/>
          <w:i w:val="0"/>
          <w:sz w:val="20"/>
        </w:rPr>
        <w:t>Decision gates</w:t>
      </w:r>
    </w:p>
    <w:p>
      <w:pPr>
        <w:spacing w:after="120"/>
      </w:pPr>
      <w:r>
        <w:rPr>
          <w:b w:val="0"/>
          <w:i w:val="0"/>
          <w:sz w:val="20"/>
        </w:rPr>
        <w:t>4</w:t>
      </w:r>
    </w:p>
    <w:p>
      <w:pPr>
        <w:spacing w:after="120"/>
      </w:pPr>
      <w:r>
        <w:rPr>
          <w:b w:val="0"/>
          <w:i w:val="0"/>
          <w:sz w:val="20"/>
        </w:rPr>
        <w:t>Funded stages</w:t>
      </w:r>
    </w:p>
    <w:p>
      <w:pPr>
        <w:spacing w:after="120"/>
      </w:pPr>
      <w:r>
        <w:rPr>
          <w:b w:val="0"/>
          <w:i w:val="0"/>
          <w:sz w:val="20"/>
        </w:rPr>
        <w:t>2</w:t>
      </w:r>
    </w:p>
    <w:p>
      <w:pPr>
        <w:spacing w:after="120"/>
      </w:pPr>
      <w:r>
        <w:rPr>
          <w:b w:val="0"/>
          <w:i w:val="0"/>
          <w:sz w:val="20"/>
        </w:rPr>
        <w:t>Criteria tiers — must-meet, should-meet</w:t>
      </w:r>
    </w:p>
    <w:p>
      <w:pPr>
        <w:spacing w:after="120"/>
      </w:pPr>
      <w:r>
        <w:rPr>
          <w:b w:val="0"/>
          <w:i w:val="0"/>
          <w:sz w:val="20"/>
        </w:rPr>
        <w:t>5</w:t>
      </w:r>
    </w:p>
    <w:p>
      <w:pPr>
        <w:spacing w:after="120"/>
      </w:pPr>
      <w:r>
        <w:rPr>
          <w:b w:val="0"/>
          <w:i w:val="0"/>
          <w:sz w:val="20"/>
        </w:rPr>
        <w:t>Possible outcomes per gate</w:t>
      </w:r>
    </w:p>
    <w:p>
      <w:pPr>
        <w:spacing w:after="120"/>
      </w:pPr>
      <w:r>
        <w:rPr>
          <w:b w:val="0"/>
          <w:i w:val="0"/>
          <w:sz w:val="20"/>
        </w:rPr>
        <w:t xml:space="preserve">Stage-gate (sometimes phase-gate) splits a development program into </w:t>
      </w:r>
      <w:r>
        <w:rPr>
          <w:b/>
          <w:i w:val="0"/>
          <w:sz w:val="20"/>
        </w:rPr>
        <w:t>stages</w:t>
      </w:r>
      <w:r>
        <w:rPr>
          <w:b w:val="0"/>
          <w:i w:val="0"/>
          <w:sz w:val="20"/>
        </w:rPr>
        <w:t xml:space="preserve"> of funded work separated by </w:t>
      </w:r>
      <w:r>
        <w:rPr>
          <w:b/>
          <w:i w:val="0"/>
          <w:sz w:val="20"/>
        </w:rPr>
        <w:t>gates</w:t>
      </w:r>
      <w:r>
        <w:rPr>
          <w:b w:val="0"/>
          <w:i w:val="0"/>
          <w:sz w:val="20"/>
        </w:rPr>
        <w:t xml:space="preserve"> — formal decision points where a cross-functional board reviews evidence and chooses one of five outcomes: </w:t>
      </w:r>
      <w:r>
        <w:rPr>
          <w:b/>
          <w:i w:val="0"/>
          <w:sz w:val="20"/>
        </w:rPr>
        <w:t>GO</w:t>
      </w:r>
      <w:r>
        <w:rPr>
          <w:b w:val="0"/>
          <w:i w:val="0"/>
          <w:sz w:val="20"/>
        </w:rPr>
        <w:t xml:space="preserve">, </w:t>
      </w:r>
      <w:r>
        <w:rPr>
          <w:b/>
          <w:i w:val="0"/>
          <w:sz w:val="20"/>
        </w:rPr>
        <w:t>GO WITH CONDITIONS</w:t>
      </w:r>
      <w:r>
        <w:rPr>
          <w:b w:val="0"/>
          <w:i w:val="0"/>
          <w:sz w:val="20"/>
        </w:rPr>
        <w:t xml:space="preserve">, </w:t>
      </w:r>
      <w:r>
        <w:rPr>
          <w:b/>
          <w:i w:val="0"/>
          <w:sz w:val="20"/>
        </w:rPr>
        <w:t>RECYCLE</w:t>
      </w:r>
      <w:r>
        <w:rPr>
          <w:b w:val="0"/>
          <w:i w:val="0"/>
          <w:sz w:val="20"/>
        </w:rPr>
        <w:t xml:space="preserve">, </w:t>
      </w:r>
      <w:r>
        <w:rPr>
          <w:b/>
          <w:i w:val="0"/>
          <w:sz w:val="20"/>
        </w:rPr>
        <w:t>HOLD</w:t>
      </w:r>
      <w:r>
        <w:rPr>
          <w:b w:val="0"/>
          <w:i w:val="0"/>
          <w:sz w:val="20"/>
        </w:rPr>
        <w:t xml:space="preserve">, or </w:t>
      </w:r>
      <w:r>
        <w:rPr>
          <w:b/>
          <w:i w:val="0"/>
          <w:sz w:val="20"/>
        </w:rPr>
        <w:t>CANCEL</w:t>
      </w:r>
      <w:r>
        <w:rPr>
          <w:b w:val="0"/>
          <w:i w:val="0"/>
          <w:sz w:val="20"/>
        </w:rPr>
        <w:t xml:space="preserve">. The defining difference from a waterfall program plan is not the work itself — pricing, filing, building, testing and launching a product happen in some order under any methodology — it is that </w:t>
      </w:r>
      <w:r>
        <w:rPr>
          <w:b/>
          <w:i w:val="0"/>
          <w:sz w:val="20"/>
        </w:rPr>
        <w:t>funding and the right to continue are earned at each gate rather than approved once at the start.</w:t>
      </w:r>
      <w:r>
        <w:rPr>
          <w:b w:val="0"/>
          <w:i w:val="0"/>
          <w:sz w:val="20"/>
        </w:rPr>
        <w:t xml:space="preserve"> No stage begins until the gate ahead of it releases its tranche, and no tranche is released until the evidence supports it.</w:t>
      </w:r>
    </w:p>
    <w:p>
      <w:pPr>
        <w:spacing w:after="120"/>
      </w:pPr>
      <w:r>
        <w:rPr>
          <w:b w:val="0"/>
          <w:i w:val="0"/>
          <w:sz w:val="20"/>
        </w:rPr>
        <w:t xml:space="preserve">Each gate applies a </w:t>
      </w:r>
      <w:r>
        <w:rPr>
          <w:b/>
          <w:i w:val="0"/>
          <w:sz w:val="20"/>
        </w:rPr>
        <w:t>two-tier test</w:t>
      </w:r>
      <w:r>
        <w:rPr>
          <w:b w:val="0"/>
          <w:i w:val="0"/>
          <w:sz w:val="20"/>
        </w:rPr>
        <w:t xml:space="preserve">: a short list of </w:t>
      </w:r>
      <w:r>
        <w:rPr>
          <w:b/>
          <w:i w:val="0"/>
          <w:sz w:val="20"/>
        </w:rPr>
        <w:t>must-meet</w:t>
      </w:r>
      <w:r>
        <w:rPr>
          <w:b w:val="0"/>
          <w:i w:val="0"/>
          <w:sz w:val="20"/>
        </w:rPr>
        <w:t xml:space="preserve"> criteria evaluated first as a pass/fail knockout, then a weighted </w:t>
      </w:r>
      <w:r>
        <w:rPr>
          <w:b/>
          <w:i w:val="0"/>
          <w:sz w:val="20"/>
        </w:rPr>
        <w:t>should-meet</w:t>
      </w:r>
      <w:r>
        <w:rPr>
          <w:b w:val="0"/>
          <w:i w:val="0"/>
          <w:sz w:val="20"/>
        </w:rPr>
        <w:t xml:space="preserve"> score on a 1–5 scale (plus a </w:t>
      </w:r>
      <w:r>
        <w:rPr>
          <w:b/>
          <w:i w:val="0"/>
          <w:sz w:val="20"/>
        </w:rPr>
        <w:t>U</w:t>
      </w:r>
      <w:r>
        <w:rPr>
          <w:b w:val="0"/>
          <w:i w:val="0"/>
          <w:sz w:val="20"/>
        </w:rPr>
        <w:t xml:space="preserve"> for unscoreable, where no defensible evidence exists yet). Full criteria, weights and score bands live in the </w:t>
      </w:r>
      <w:r>
        <w:rPr>
          <w:b w:val="0"/>
          <w:i w:val="0"/>
          <w:sz w:val="20"/>
        </w:rPr>
        <w:t>Gate Decision Framework</w:t>
      </w:r>
      <w:r>
        <w:rPr>
          <w:b w:val="0"/>
          <w:i w:val="0"/>
          <w:sz w:val="20"/>
        </w:rPr>
        <w:t>; this guide covers the shape of the method, not its arithmetic.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2. The Gate Structure — Five Gates, Four Stages, Tranche Funding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Gate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Question it answers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Releases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Gate 0</w:t>
            </w:r>
            <w:r>
              <w:rPr>
                <w:b w:val="0"/>
                <w:i w:val="0"/>
                <w:sz w:val="17"/>
              </w:rPr>
              <w:t xml:space="preserve"> — Concept Screening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Is this concept worth the cost of a business case?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$2,180,000 for Stage 1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Gate 1</w:t>
            </w:r>
            <w:r>
              <w:rPr>
                <w:b w:val="0"/>
                <w:i w:val="0"/>
                <w:sz w:val="17"/>
              </w:rPr>
              <w:t xml:space="preserve"> — Business Case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Does the economics clear the hurdle, and can it be built, filed and sold?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$11,640,000 for Stage 2 — the largest single tranche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Gate 2</w:t>
            </w:r>
            <w:r>
              <w:rPr>
                <w:b w:val="0"/>
                <w:i w:val="0"/>
                <w:sz w:val="17"/>
              </w:rPr>
              <w:t xml:space="preserve"> — Development Complete &amp; Filing Readiness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Is the product built, priced and ready to file?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$7,450,000 for Stage 3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Gate 3</w:t>
            </w:r>
            <w:r>
              <w:rPr>
                <w:b w:val="0"/>
                <w:i w:val="0"/>
                <w:sz w:val="17"/>
              </w:rPr>
              <w:t xml:space="preserve"> — Validation &amp; Filing Approval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Is the product approved, validated and still economically sound at approved rates?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$4,330,000 for Stage 4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Gate 4</w:t>
            </w:r>
            <w:r>
              <w:rPr>
                <w:b w:val="0"/>
                <w:i w:val="0"/>
                <w:sz w:val="17"/>
              </w:rPr>
              <w:t xml:space="preserve"> — Launch Readiness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Can the organization actually sell and service what it built?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No new tranche — authorizes launch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Gate 5</w:t>
            </w:r>
            <w:r>
              <w:rPr>
                <w:b w:val="0"/>
                <w:i w:val="0"/>
                <w:sz w:val="17"/>
              </w:rPr>
              <w:t xml:space="preserve"> — Post-Launch Review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Did the business case hold, and whose job is the number now?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Not an authorization gate — see §12 of the Framework</w:t>
            </w:r>
          </w:p>
        </w:tc>
      </w:tr>
    </w:tbl>
    <w:p/>
    <w:p>
      <w:pPr>
        <w:spacing w:after="120"/>
      </w:pPr>
      <w:r>
        <w:rPr>
          <w:b w:val="0"/>
          <w:i w:val="0"/>
          <w:sz w:val="20"/>
        </w:rPr>
        <w:t xml:space="preserve">Two rules discipline the structure. First, </w:t>
      </w:r>
      <w:r>
        <w:rPr>
          <w:b/>
          <w:i w:val="0"/>
          <w:sz w:val="20"/>
        </w:rPr>
        <w:t>criteria for Gate N are fixed at Gate N−1</w:t>
      </w:r>
      <w:r>
        <w:rPr>
          <w:b w:val="0"/>
          <w:i w:val="0"/>
          <w:sz w:val="20"/>
        </w:rPr>
        <w:t xml:space="preserve"> and recorded in that gate's minute — a team cannot be judged against a bar invented after the money is spent, and cannot negotiate the bar down once results disappoint. Second, a stage can </w:t>
      </w:r>
      <w:r>
        <w:rPr>
          <w:b/>
          <w:i w:val="0"/>
          <w:sz w:val="20"/>
        </w:rPr>
        <w:t>recycle</w:t>
      </w:r>
      <w:r>
        <w:rPr>
          <w:b w:val="0"/>
          <w:i w:val="0"/>
          <w:sz w:val="20"/>
        </w:rPr>
        <w:t xml:space="preserve">: this program's Gate 1 did, once, when two criteria came back </w:t>
      </w:r>
      <w:r>
        <w:rPr>
          <w:b/>
          <w:i w:val="0"/>
          <w:sz w:val="20"/>
        </w:rPr>
        <w:t>U</w:t>
      </w:r>
      <w:r>
        <w:rPr>
          <w:b w:val="0"/>
          <w:i w:val="0"/>
          <w:sz w:val="20"/>
        </w:rPr>
        <w:t xml:space="preserve"> rather than a low score (Framework §14) — a distinction this methodology insists on, because a low score records disagreement about quality, and a </w:t>
      </w:r>
      <w:r>
        <w:rPr>
          <w:b/>
          <w:i w:val="0"/>
          <w:sz w:val="20"/>
        </w:rPr>
        <w:t>U</w:t>
      </w:r>
      <w:r>
        <w:rPr>
          <w:b w:val="0"/>
          <w:i w:val="0"/>
          <w:sz w:val="20"/>
        </w:rPr>
        <w:t xml:space="preserve"> records that no defensible evidence exists yet. Treating the two the same lets a program talk its way past a gap that was never actually closed.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val="clear" w:fill="E8F1ED"/>
          </w:tcPr>
          <w:p>
            <w:pPr>
              <w:spacing w:after="120"/>
            </w:pPr>
            <w:r>
              <w:rPr>
                <w:b/>
                <w:i w:val="0"/>
                <w:sz w:val="20"/>
              </w:rPr>
              <w:t>Money is a stage's, not the program's.</w:t>
            </w:r>
            <w:r>
              <w:rPr>
                <w:b w:val="0"/>
                <w:i w:val="0"/>
                <w:sz w:val="20"/>
              </w:rPr>
              <w:t xml:space="preserve"> At any point in a stage-gate program, only the stages already gated are funded. Stage 3 and Stage 4 — $11,780,000 combined — are not authorized at the 16 October 2026 status date and will not be until Gate 2 and Gate 3 release them. This is the mechanism behind §5 below. </w:t>
            </w:r>
          </w:p>
        </w:tc>
      </w:tr>
    </w:tbl>
    <w:p/>
    <w:p>
      <w:pPr>
        <w:spacing w:before="280" w:after="80"/>
      </w:pPr>
      <w:r>
        <w:rPr>
          <w:b/>
          <w:i w:val="0"/>
          <w:color w:val="14352A"/>
          <w:sz w:val="28"/>
        </w:rPr>
        <w:t>3. Where Stage-Gate Comes From</w:t>
      </w:r>
    </w:p>
    <w:p>
      <w:pPr>
        <w:spacing w:after="120"/>
      </w:pPr>
      <w:r>
        <w:rPr>
          <w:b w:val="0"/>
          <w:i w:val="0"/>
          <w:sz w:val="20"/>
        </w:rPr>
        <w:t xml:space="preserve">Stage-gate traces to </w:t>
      </w:r>
      <w:r>
        <w:rPr>
          <w:b/>
          <w:i w:val="0"/>
          <w:sz w:val="20"/>
        </w:rPr>
        <w:t>Robert G. Cooper's</w:t>
      </w:r>
      <w:r>
        <w:rPr>
          <w:b w:val="0"/>
          <w:i w:val="0"/>
          <w:sz w:val="20"/>
        </w:rPr>
        <w:t xml:space="preserve"> work on new product development process, published from the early 1980s onward and refined through several editions since. Cooper's canonical gate outcomes are four — </w:t>
      </w:r>
      <w:r>
        <w:rPr>
          <w:b w:val="0"/>
          <w:i/>
          <w:sz w:val="20"/>
        </w:rPr>
        <w:t>proceed, stop, hold</w:t>
      </w:r>
      <w:r>
        <w:rPr>
          <w:b w:val="0"/>
          <w:i w:val="0"/>
          <w:sz w:val="20"/>
        </w:rPr>
        <w:t xml:space="preserve"> and </w:t>
      </w:r>
      <w:r>
        <w:rPr>
          <w:b w:val="0"/>
          <w:i/>
          <w:sz w:val="20"/>
        </w:rPr>
        <w:t>recycle</w:t>
      </w:r>
      <w:r>
        <w:rPr>
          <w:b w:val="0"/>
          <w:i w:val="0"/>
          <w:sz w:val="20"/>
        </w:rPr>
        <w:t xml:space="preserve"> — with a conditional proceed recognized as a fifth in later editions. This program labels the same five decisions </w:t>
      </w:r>
      <w:r>
        <w:rPr>
          <w:b/>
          <w:i w:val="0"/>
          <w:sz w:val="20"/>
        </w:rPr>
        <w:t>GO, CANCEL, HOLD, RECYCLE</w:t>
      </w:r>
      <w:r>
        <w:rPr>
          <w:b w:val="0"/>
          <w:i w:val="0"/>
          <w:sz w:val="20"/>
        </w:rPr>
        <w:t xml:space="preserve"> and </w:t>
      </w:r>
      <w:r>
        <w:rPr>
          <w:b/>
          <w:i w:val="0"/>
          <w:sz w:val="20"/>
        </w:rPr>
        <w:t>GO WITH CONDITIONS</w:t>
      </w:r>
      <w:r>
        <w:rPr>
          <w:b w:val="0"/>
          <w:i w:val="0"/>
          <w:sz w:val="20"/>
        </w:rPr>
        <w:t xml:space="preserve">; the framework literature uses a blunter one-syllable word where this program says CANCEL, and the decision carries identical authority and effect under either label (Governance Model §9 explains the naming choice in full). The program-management layer sitting on top of the gate structure — the charter, budget, resource plan, RAIDD log and status reporting — follows PMI practice, the same body of practice behind the PMP credential and the other program-management artifacts in this portfolio. Stage-gate governs </w:t>
      </w:r>
      <w:r>
        <w:rPr>
          <w:b w:val="0"/>
          <w:i/>
          <w:sz w:val="20"/>
        </w:rPr>
        <w:t>whether</w:t>
      </w:r>
      <w:r>
        <w:rPr>
          <w:b w:val="0"/>
          <w:i w:val="0"/>
          <w:sz w:val="20"/>
        </w:rPr>
        <w:t xml:space="preserve"> the program continues; PMI practice governs </w:t>
      </w:r>
      <w:r>
        <w:rPr>
          <w:b w:val="0"/>
          <w:i/>
          <w:sz w:val="20"/>
        </w:rPr>
        <w:t>how</w:t>
      </w:r>
      <w:r>
        <w:rPr>
          <w:b w:val="0"/>
          <w:i w:val="0"/>
          <w:sz w:val="20"/>
        </w:rPr>
        <w:t xml:space="preserve"> it is run while it does. The two are not competing methodologies — a mature stage-gate program needs both, which is why this suite, alone in the portfolio, carries a Gate Review Board </w:t>
      </w:r>
      <w:r>
        <w:rPr>
          <w:b w:val="0"/>
          <w:i/>
          <w:sz w:val="20"/>
        </w:rPr>
        <w:t>and</w:t>
      </w:r>
      <w:r>
        <w:rPr>
          <w:b w:val="0"/>
          <w:i w:val="0"/>
          <w:sz w:val="20"/>
        </w:rPr>
        <w:t xml:space="preserve"> a conventional program management office underneath it.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4. Regulatory Grounding Behind the Product</w:t>
      </w:r>
    </w:p>
    <w:p>
      <w:pPr>
        <w:spacing w:after="120"/>
      </w:pPr>
      <w:r>
        <w:rPr>
          <w:b w:val="0"/>
          <w:i w:val="0"/>
          <w:sz w:val="20"/>
        </w:rPr>
        <w:t>None of the following is decorative. Every regulatory reference in this suite is one a program manager on an annuity launch would actually need to know, and none go deeper than a program manager can defend without pretending to be an actuary or an attorney.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Body / instrument</w:t>
            </w:r>
          </w:p>
        </w:tc>
        <w:tc>
          <w:tcPr>
            <w:tcW w:type="dxa" w:w="4824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What it does here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IIPRC</w:t>
            </w:r>
            <w:r>
              <w:rPr>
                <w:b w:val="0"/>
                <w:i w:val="0"/>
                <w:sz w:val="17"/>
              </w:rPr>
              <w:t xml:space="preserve"> (the Interstate Insurance Product Regulation Commission, “the Compact”)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 xml:space="preserve">Single-point filing against uniform product standards, used for the Compact-member states — the primary filing route (Decision </w:t>
            </w:r>
            <w:r>
              <w:rPr>
                <w:b/>
                <w:i w:val="0"/>
                <w:sz w:val="17"/>
              </w:rPr>
              <w:t>D-06</w:t>
            </w:r>
            <w:r>
              <w:rPr>
                <w:b w:val="0"/>
                <w:i w:val="0"/>
                <w:sz w:val="17"/>
              </w:rPr>
              <w:t>).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SERFF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The NAIC's electronic rate and form filing system, used for the non-Compact states this product must also reach.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Non-Compact states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 xml:space="preserve">The reason the filing plan is not one filing: California and Florida file separately, and </w:t>
            </w:r>
            <w:r>
              <w:rPr>
                <w:b/>
                <w:i w:val="0"/>
                <w:sz w:val="17"/>
              </w:rPr>
              <w:t>New York is excluded from launch scope entirely</w:t>
            </w:r>
            <w:r>
              <w:rPr>
                <w:b w:val="0"/>
                <w:i w:val="0"/>
                <w:sz w:val="17"/>
              </w:rPr>
              <w:t xml:space="preserve"> (</w:t>
            </w:r>
            <w:r>
              <w:rPr>
                <w:b/>
                <w:i w:val="0"/>
                <w:sz w:val="17"/>
              </w:rPr>
              <w:t>A-03</w:t>
            </w:r>
            <w:r>
              <w:rPr>
                <w:b w:val="0"/>
                <w:i w:val="0"/>
                <w:sz w:val="17"/>
              </w:rPr>
              <w:t xml:space="preserve"> / </w:t>
            </w:r>
            <w:r>
              <w:rPr>
                <w:b/>
                <w:i w:val="0"/>
                <w:sz w:val="17"/>
              </w:rPr>
              <w:t>D-02</w:t>
            </w:r>
            <w:r>
              <w:rPr>
                <w:b w:val="0"/>
                <w:i w:val="0"/>
                <w:sz w:val="17"/>
              </w:rPr>
              <w:t>).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NAIC Suitability in Annuity Transactions Model Regulation (#275)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The best-interest standard driving advisor training, disclosure and the Distribution &amp; Advisor Enablement Plan — the regulation with the most day-to-day program scope attached to it.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PMI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The program-management layer described in §3 above.</w:t>
            </w:r>
          </w:p>
        </w:tc>
      </w:tr>
    </w:tbl>
    <w:p/>
    <w:p>
      <w:pPr>
        <w:spacing w:after="120"/>
      </w:pPr>
      <w:r>
        <w:rPr>
          <w:b w:val="0"/>
          <w:i w:val="0"/>
          <w:sz w:val="20"/>
        </w:rPr>
        <w:t xml:space="preserve">Why an FIA and not a RILA (Registered Index-Linked Annuity, Decision </w:t>
      </w:r>
      <w:r>
        <w:rPr>
          <w:b/>
          <w:i w:val="0"/>
          <w:sz w:val="20"/>
        </w:rPr>
        <w:t>D-01</w:t>
      </w:r>
      <w:r>
        <w:rPr>
          <w:b w:val="0"/>
          <w:i w:val="0"/>
          <w:sz w:val="20"/>
        </w:rPr>
        <w:t xml:space="preserve">): a RILA is a registered security and would bring SEC registration and FINRA distribution oversight into scope. A fixed indexed annuity is non-registered, which keeps the entire regulatory story inside the state insurance department filing lane above. The predecessor concept this same board considered was a RILA — see the </w:t>
      </w:r>
      <w:r>
        <w:rPr>
          <w:b w:val="0"/>
          <w:i w:val="0"/>
          <w:sz w:val="20"/>
        </w:rPr>
        <w:t>Prior Concept Cancellation Record</w:t>
      </w:r>
      <w:r>
        <w:rPr>
          <w:b w:val="0"/>
          <w:i w:val="0"/>
          <w:sz w:val="20"/>
        </w:rPr>
        <w:t xml:space="preserve"> for why it did not proceed on those terms.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5. Why This Program Publishes No Full-Program Earned Value Baseline</w:t>
      </w:r>
    </w:p>
    <w:p>
      <w:pPr>
        <w:spacing w:after="120"/>
      </w:pPr>
      <w:r>
        <w:rPr>
          <w:b w:val="0"/>
          <w:i w:val="0"/>
          <w:sz w:val="20"/>
        </w:rPr>
        <w:t xml:space="preserve">Every other program-management suite in this portfolio publishes a baselined cost and schedule performance measure across the life of the program. This one deliberately does not (Decision </w:t>
      </w:r>
      <w:r>
        <w:rPr>
          <w:b/>
          <w:i w:val="0"/>
          <w:sz w:val="20"/>
        </w:rPr>
        <w:t>D-10</w:t>
      </w:r>
      <w:r>
        <w:rPr>
          <w:b w:val="0"/>
          <w:i w:val="0"/>
          <w:sz w:val="20"/>
        </w:rPr>
        <w:t>), and the reason is structural rather than a gap: at any point before Gate 3, only Stages 1 and 2 are funded. A program-level cost or schedule variance would measure actual spend against a budget for stages the Board has not yet approved — comparing real numbers to a number nobody has committed to is not a variance, it is a guess wearing a variance's clothing.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val="clear" w:fill="FDF3DF"/>
          </w:tcPr>
          <w:p>
            <w:pPr>
              <w:spacing w:after="120"/>
            </w:pPr>
            <w:r>
              <w:rPr>
                <w:b w:val="0"/>
                <w:i w:val="0"/>
                <w:sz w:val="20"/>
              </w:rPr>
              <w:t xml:space="preserve"> Performance is reported </w:t>
            </w:r>
            <w:r>
              <w:rPr>
                <w:b/>
                <w:i w:val="0"/>
                <w:sz w:val="20"/>
              </w:rPr>
              <w:t>within the released tranche only.</w:t>
            </w:r>
            <w:r>
              <w:rPr>
                <w:b w:val="0"/>
                <w:i w:val="0"/>
                <w:sz w:val="20"/>
              </w:rPr>
              <w:t xml:space="preserve"> The Program Budget, Program Dashboard and Weekly Status Report all report Stage 1 and Stage 2 actuals against their own tranches — $2,180,000 and $11,640,000 respectively — and none of them project a program-total variance. This is a deliberate methodology position, not an omission, and the three documents are required to say so consistently. </w:t>
            </w:r>
          </w:p>
        </w:tc>
      </w:tr>
    </w:tbl>
    <w:p/>
    <w:p>
      <w:pPr>
        <w:spacing w:before="280" w:after="80"/>
      </w:pPr>
      <w:r>
        <w:rPr>
          <w:b/>
          <w:i w:val="0"/>
          <w:color w:val="14352A"/>
          <w:sz w:val="28"/>
        </w:rPr>
        <w:t>6. Beacon Index Advantage by the Numbers</w:t>
      </w:r>
    </w:p>
    <w:p>
      <w:pPr>
        <w:spacing w:after="120"/>
      </w:pPr>
      <w:r>
        <w:rPr>
          <w:b w:val="0"/>
          <w:i w:val="0"/>
          <w:sz w:val="20"/>
        </w:rPr>
        <w:t>$27,904,000</w:t>
      </w:r>
    </w:p>
    <w:p>
      <w:pPr>
        <w:spacing w:after="120"/>
      </w:pPr>
      <w:r>
        <w:rPr>
          <w:b w:val="0"/>
          <w:i w:val="0"/>
          <w:sz w:val="20"/>
        </w:rPr>
        <w:t>Total authorized</w:t>
      </w:r>
    </w:p>
    <w:p>
      <w:pPr>
        <w:spacing w:after="120"/>
      </w:pPr>
      <w:r>
        <w:rPr>
          <w:b w:val="0"/>
          <w:i w:val="0"/>
          <w:sz w:val="20"/>
        </w:rPr>
        <w:t>90</w:t>
      </w:r>
    </w:p>
    <w:p>
      <w:pPr>
        <w:spacing w:after="120"/>
      </w:pPr>
      <w:r>
        <w:rPr>
          <w:b w:val="0"/>
          <w:i w:val="0"/>
          <w:sz w:val="20"/>
        </w:rPr>
        <w:t>Program roster</w:t>
      </w:r>
    </w:p>
    <w:p>
      <w:pPr>
        <w:spacing w:after="120"/>
      </w:pPr>
      <w:r>
        <w:rPr>
          <w:b w:val="0"/>
          <w:i w:val="0"/>
          <w:sz w:val="20"/>
        </w:rPr>
        <w:t>146,440</w:t>
      </w:r>
    </w:p>
    <w:p>
      <w:pPr>
        <w:spacing w:after="120"/>
      </w:pPr>
      <w:r>
        <w:rPr>
          <w:b w:val="0"/>
          <w:i w:val="0"/>
          <w:sz w:val="20"/>
        </w:rPr>
        <w:t>Total hours</w:t>
      </w:r>
    </w:p>
    <w:p>
      <w:pPr>
        <w:spacing w:after="120"/>
      </w:pPr>
      <w:r>
        <w:rPr>
          <w:b w:val="0"/>
          <w:i w:val="0"/>
          <w:sz w:val="20"/>
        </w:rPr>
        <w:t>Feb 2026–Sep 2028</w:t>
      </w:r>
    </w:p>
    <w:p>
      <w:pPr>
        <w:spacing w:after="120"/>
      </w:pPr>
      <w:r>
        <w:rPr>
          <w:b w:val="0"/>
          <w:i w:val="0"/>
          <w:sz w:val="20"/>
        </w:rPr>
        <w:t>Gate 0 to Gate 5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Stage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Length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Funded by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Stage 1 — Business Case &amp; Feasibility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17 wks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Gate 0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Stage 2 — Development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41 wks (compressed from a planned 46 after the Gate 1 recycle)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Gate 1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Stage 3 — Testing &amp; Validation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29 wks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Gate 2 (not yet released)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Stage 4 — Launch Readiness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16 wks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Gate 3 (not yet released)</w:t>
            </w:r>
          </w:p>
        </w:tc>
      </w:tr>
    </w:tbl>
    <w:p/>
    <w:p>
      <w:pPr>
        <w:spacing w:after="120"/>
      </w:pPr>
      <w:r>
        <w:rPr>
          <w:b w:val="0"/>
          <w:i w:val="0"/>
          <w:sz w:val="20"/>
        </w:rPr>
        <w:t xml:space="preserve">Full budget derivation, roster envelopes and the business-case economics live in the </w:t>
      </w:r>
      <w:r>
        <w:rPr>
          <w:b w:val="0"/>
          <w:i w:val="0"/>
          <w:sz w:val="20"/>
        </w:rPr>
        <w:t>Gate 1 Business Case Package</w:t>
      </w:r>
      <w:r>
        <w:rPr>
          <w:b w:val="0"/>
          <w:i w:val="0"/>
          <w:sz w:val="20"/>
        </w:rPr>
        <w:t xml:space="preserve"> and the (forthcoming) Program Budget; they are not repeated here to avoid two documents drifting out of agreement on the same figures.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7. Roles at a Glance</w:t>
      </w:r>
    </w:p>
    <w:p>
      <w:pPr>
        <w:spacing w:before="200" w:after="80"/>
      </w:pPr>
      <w:r>
        <w:rPr>
          <w:b/>
          <w:i w:val="0"/>
          <w:color w:val="1B2130"/>
          <w:sz w:val="21"/>
        </w:rPr>
        <w:t>Gate Review Board — five voting seats, a non-voting chair, an observer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Person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Seat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Vote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C. Tyrrell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NPD Program Manager — Chair, seated from the PMO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No vote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G. Marchetti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Chief Product Officer — Executive Sponsor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Voting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N. Adeyemi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Chief Actuary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Voting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B. Lindqvist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General Counsel &amp; Chief Compliance Officer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Voting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R. Castellanos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Head of Distribution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Voting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J. Whitmore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Chief Financial Officer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Voting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D. Pemberton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Chief Risk Officer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Observer, no vote</w:t>
            </w:r>
          </w:p>
        </w:tc>
      </w:tr>
    </w:tbl>
    <w:p/>
    <w:p>
      <w:pPr>
        <w:spacing w:after="120"/>
      </w:pPr>
      <w:r>
        <w:rPr>
          <w:b w:val="0"/>
          <w:i w:val="0"/>
          <w:sz w:val="20"/>
        </w:rPr>
        <w:t xml:space="preserve">Why the Chair does not vote: the person accountable for gate integrity and evidence quality is not the person deciding whether the program continues (Governance Model §4, Decision </w:t>
      </w:r>
      <w:r>
        <w:rPr>
          <w:b/>
          <w:i w:val="0"/>
          <w:sz w:val="20"/>
        </w:rPr>
        <w:t>D-11</w:t>
      </w:r>
      <w:r>
        <w:rPr>
          <w:b w:val="0"/>
          <w:i w:val="0"/>
          <w:sz w:val="20"/>
        </w:rPr>
        <w:t>). Underneath the Board, 90 people across fifteen functional teams — Actuarial (pricing and valuation), Legal &amp; Compliance, Regulatory Filing, IT (platform and illustration), Investments/ALM &amp; Hedging, Operations, Distribution, Marketing, Finance and the Product Development PMO — carry the work the Board is deciding on.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8. How This Compares to the Other Five Suites in This Portfolio</w:t>
      </w:r>
    </w:p>
    <w:p>
      <w:pPr>
        <w:spacing w:after="120"/>
      </w:pPr>
      <w:r>
        <w:rPr>
          <w:b w:val="0"/>
          <w:i w:val="0"/>
          <w:sz w:val="20"/>
        </w:rPr>
        <w:t xml:space="preserve">If you have looked at the PM, Agile, Federal or Aerospace suites in this portfolio, most of the program-management furniture here will feel familiar: a resource plan reconciled to a budget, a RAIDD log, status reporting. What is different is the premise. The other five suites assume the program will be delivered and sequence the work toward that delivery — PMBOK waterfall phases, agile sprints, a hybrid phase-gate/sprint model, FAR-governed task-order phases, or an AS9100 qualification-to-production sequence. This suite does not assume delivery. It asks, five times, formally and with a recorded vote, whether the program should continue to exist, and it funds one stage at a time rather than baselining a budget once. It is also the only suite in the portfolio that documents a program the same governing body </w:t>
      </w:r>
      <w:r>
        <w:rPr>
          <w:b/>
          <w:i w:val="0"/>
          <w:sz w:val="20"/>
        </w:rPr>
        <w:t>cancelled</w:t>
      </w:r>
      <w:r>
        <w:rPr>
          <w:b w:val="0"/>
          <w:i w:val="0"/>
          <w:sz w:val="20"/>
        </w:rPr>
        <w:t xml:space="preserve"> — see the Prior Concept Cancellation Record — and the only one with no full-program earned value baseline, for the structural reason given in §5. Every other difference in this suite (the Gate Conditions Register, the </w:t>
      </w:r>
      <w:r>
        <w:rPr>
          <w:b/>
          <w:i w:val="0"/>
          <w:sz w:val="20"/>
        </w:rPr>
        <w:t>U</w:t>
      </w:r>
      <w:r>
        <w:rPr>
          <w:b w:val="0"/>
          <w:i w:val="0"/>
          <w:sz w:val="20"/>
        </w:rPr>
        <w:t xml:space="preserve"> rating, the tranche-by-tranche budget) is a mechanism for making that single premise operate honestly rather than as a slogan.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9. Questions &amp; Answers</w:t>
      </w:r>
    </w:p>
    <w:p>
      <w:pPr>
        <w:spacing w:after="120"/>
      </w:pPr>
      <w:r>
        <w:rPr>
          <w:b w:val="0"/>
          <w:i w:val="0"/>
          <w:sz w:val="20"/>
        </w:rPr>
        <w:t>What is stage-gate new product development?</w:t>
      </w:r>
    </w:p>
    <w:p>
      <w:pPr>
        <w:spacing w:after="120"/>
      </w:pPr>
      <w:r>
        <w:rPr>
          <w:b w:val="0"/>
          <w:i w:val="0"/>
          <w:sz w:val="20"/>
        </w:rPr>
        <w:t>A methodology that splits a development program into funded stages separated by gates — go/no-go decision points where a cross-functional board reviews evidence and decides whether to release the next stage's funding, recycle, hold, or cancel.</w:t>
      </w:r>
    </w:p>
    <w:p>
      <w:pPr>
        <w:spacing w:after="120"/>
      </w:pPr>
      <w:r>
        <w:rPr>
          <w:b w:val="0"/>
          <w:i w:val="0"/>
          <w:sz w:val="20"/>
        </w:rPr>
        <w:t>How is stage-gate different from a waterfall program plan?</w:t>
      </w:r>
    </w:p>
    <w:p>
      <w:pPr>
        <w:spacing w:after="120"/>
      </w:pPr>
      <w:r>
        <w:rPr>
          <w:b w:val="0"/>
          <w:i w:val="0"/>
          <w:sz w:val="20"/>
        </w:rPr>
        <w:t>Waterfall assumes delivery and sequences the work toward it. Stage-gate does not assume delivery — funding and the right to continue are earned at each gate, not approved once at the start.</w:t>
      </w:r>
    </w:p>
    <w:p>
      <w:pPr>
        <w:spacing w:after="120"/>
      </w:pPr>
      <w:r>
        <w:rPr>
          <w:b w:val="0"/>
          <w:i w:val="0"/>
          <w:sz w:val="20"/>
        </w:rPr>
        <w:t>Who decides, and why does the Program Manager not vote?</w:t>
      </w:r>
    </w:p>
    <w:p>
      <w:pPr>
        <w:spacing w:after="120"/>
      </w:pPr>
      <w:r>
        <w:rPr>
          <w:b w:val="0"/>
          <w:i w:val="0"/>
          <w:sz w:val="20"/>
        </w:rPr>
        <w:t>A five-seat cross-functional executive board decides. The Program Manager chairs, sets the agenda and certifies the evidence, but does not vote — the person accountable for progress should not also decide whether the program continues.</w:t>
      </w:r>
    </w:p>
    <w:p>
      <w:pPr>
        <w:spacing w:after="120"/>
      </w:pPr>
      <w:r>
        <w:rPr>
          <w:b w:val="0"/>
          <w:i w:val="0"/>
          <w:sz w:val="20"/>
        </w:rPr>
        <w:t>What happens if a gate does not pass cleanly?</w:t>
      </w:r>
    </w:p>
    <w:p>
      <w:pPr>
        <w:spacing w:after="120"/>
      </w:pPr>
      <w:r>
        <w:rPr>
          <w:b w:val="0"/>
          <w:i w:val="0"/>
          <w:sz w:val="20"/>
        </w:rPr>
        <w:t>One of four outcomes short of a clean GO: GO WITH CONDITIONS (funding releases with binding follow-ups), RECYCLE (the gate reconvenes once specific gaps close), HOLD (paused for a reason outside the program's control), or CANCEL.</w:t>
      </w:r>
    </w:p>
    <w:p>
      <w:pPr>
        <w:spacing w:after="120"/>
      </w:pPr>
      <w:r>
        <w:rPr>
          <w:b w:val="0"/>
          <w:i w:val="0"/>
          <w:sz w:val="20"/>
        </w:rPr>
        <w:t>Why publish no full-program earned value baseline?</w:t>
      </w:r>
    </w:p>
    <w:p>
      <w:pPr>
        <w:spacing w:after="120"/>
      </w:pPr>
      <w:r>
        <w:rPr>
          <w:b w:val="0"/>
          <w:i w:val="0"/>
          <w:sz w:val="20"/>
        </w:rPr>
        <w:t>Only two of four stages are funded at any point by design. A program-level variance would compare actuals to a budget nobody has approved yet for the unfunded stages, so performance is reported within the released tranche instead.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10. Related Reading</w:t>
      </w:r>
    </w:p>
    <w:p>
      <w:pPr>
        <w:pStyle w:val="ListBullet"/>
        <w:spacing w:after="60"/>
      </w:pPr>
      <w:r>
        <w:rPr>
          <w:b w:val="0"/>
          <w:i w:val="0"/>
          <w:sz w:val="20"/>
        </w:rPr>
        <w:t>Stage-Gate Governance Model &amp; Gate Review Board Charter</w:t>
      </w:r>
      <w:r>
        <w:rPr>
          <w:b w:val="0"/>
          <w:i w:val="0"/>
          <w:sz w:val="20"/>
        </w:rPr>
        <w:t xml:space="preserve"> — the governing instrument this guide explains.</w:t>
      </w:r>
    </w:p>
    <w:p>
      <w:pPr>
        <w:pStyle w:val="ListBullet"/>
        <w:spacing w:after="60"/>
      </w:pPr>
      <w:r>
        <w:rPr>
          <w:b w:val="0"/>
          <w:i w:val="0"/>
          <w:sz w:val="20"/>
        </w:rPr>
        <w:t>Gate Decision Framework</w:t>
      </w:r>
      <w:r>
        <w:rPr>
          <w:b w:val="0"/>
          <w:i w:val="0"/>
          <w:sz w:val="20"/>
        </w:rPr>
        <w:t xml:space="preserve"> — full must-meet and should-meet criteria, weights and score bands.</w:t>
      </w:r>
    </w:p>
    <w:p>
      <w:pPr>
        <w:pStyle w:val="ListBullet"/>
        <w:spacing w:after="60"/>
      </w:pPr>
      <w:r>
        <w:rPr>
          <w:b w:val="0"/>
          <w:i w:val="0"/>
          <w:sz w:val="20"/>
        </w:rPr>
        <w:t>Gate Conditions Register</w:t>
      </w:r>
      <w:r>
        <w:rPr>
          <w:b w:val="0"/>
          <w:i w:val="0"/>
          <w:sz w:val="20"/>
        </w:rPr>
        <w:t xml:space="preserve"> &amp; </w:t>
      </w:r>
      <w:r>
        <w:rPr>
          <w:b w:val="0"/>
          <w:i w:val="0"/>
          <w:sz w:val="20"/>
        </w:rPr>
        <w:t>Gate 2 Readiness Assessment</w:t>
      </w:r>
      <w:r>
        <w:rPr>
          <w:b w:val="0"/>
          <w:i w:val="0"/>
          <w:sz w:val="20"/>
        </w:rPr>
        <w:t xml:space="preserve"> — the live documents this reference material supports.</w:t>
      </w:r>
    </w:p>
    <w:p>
      <w:pPr>
        <w:pStyle w:val="ListBullet"/>
        <w:spacing w:after="60"/>
      </w:pPr>
      <w:r>
        <w:rPr>
          <w:b w:val="0"/>
          <w:i w:val="0"/>
          <w:sz w:val="20"/>
        </w:rPr>
        <w:t>Prior Concept Cancellation Record</w:t>
      </w:r>
      <w:r>
        <w:rPr>
          <w:b w:val="0"/>
          <w:i w:val="0"/>
          <w:sz w:val="20"/>
        </w:rPr>
        <w:t xml:space="preserve"> — the predecessor concept this same board cancelled.</w:t>
      </w:r>
    </w:p>
    <w:p>
      <w:pPr>
        <w:pStyle w:val="ListBullet"/>
        <w:spacing w:after="60"/>
      </w:pPr>
      <w:r>
        <w:rPr>
          <w:b w:val="0"/>
          <w:i w:val="0"/>
          <w:sz w:val="20"/>
        </w:rPr>
        <w:t>Program Story</w:t>
      </w:r>
      <w:r>
        <w:rPr>
          <w:b w:val="0"/>
          <w:i w:val="0"/>
          <w:sz w:val="20"/>
        </w:rPr>
        <w:t xml:space="preserve"> — a narrative walk through the suite, start here if this is your first visit.</w:t>
      </w:r>
    </w:p>
    <w:p>
      <w:pPr>
        <w:spacing w:after="120"/>
      </w:pPr>
      <w:r>
        <w:rPr>
          <w:b w:val="0"/>
          <w:i w:val="0"/>
          <w:sz w:val="20"/>
        </w:rPr>
        <w:t>Maintained by C. Tyrrell, NPD Program Manager and Chair of the Gate Review Board.</w:t>
      </w:r>
    </w:p>
    <w:p/>
    <w:p>
      <w:pPr>
        <w:jc w:val="left"/>
      </w:pPr>
      <w:r>
        <w:rPr>
          <w:color w:val="5B6472"/>
          <w:sz w:val="15"/>
        </w:rPr>
        <w:t>Lighthouse Financial Services Company — Beacon Index Advantage program. Fictional portfolio artifact produced by C. Tyrrell to</w:t>
        <w:br/>
        <w:t>demonstrate stage-gate new product development governance. No real company, product, person or</w:t>
        <w:br/>
        <w:t>filing is depicted.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