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Operations Readiness &amp; Cutover Plan — Version 1.0</w:t>
      </w:r>
    </w:p>
    <w:p>
      <w:r>
        <w:rPr>
          <w:color w:val="1E5945"/>
          <w:sz w:val="18"/>
        </w:rPr>
        <w:t>Operational Readiness &amp; Cutover</w:t>
      </w:r>
    </w:p>
    <w:p/>
    <w:p>
      <w:pPr>
        <w:spacing w:after="120"/>
      </w:pPr>
      <w:r>
        <w:rPr>
          <w:b/>
          <w:i w:val="0"/>
          <w:sz w:val="20"/>
        </w:rPr>
        <w:t>Lighthouse Financial Services Company</w:t>
      </w:r>
      <w:r>
        <w:rPr>
          <w:b w:val="0"/>
          <w:i w:val="0"/>
          <w:sz w:val="20"/>
        </w:rPr>
        <w:t xml:space="preserve"> — This plan governs the transition of the </w:t>
      </w:r>
      <w:r>
        <w:rPr>
          <w:b/>
          <w:i w:val="0"/>
          <w:sz w:val="20"/>
        </w:rPr>
        <w:t>Beacon Index Advantage</w:t>
      </w:r>
      <w:r>
        <w:rPr>
          <w:b w:val="0"/>
          <w:i w:val="0"/>
          <w:sz w:val="20"/>
        </w:rPr>
        <w:t xml:space="preserve"> from a program deliverable into a product the company sells, administers and is contractually bound by. It is deliberately not written as an inventory of things to have ready. It is written around the one structural fact that separates an annuity cutover from a software cutover: </w:t>
      </w:r>
      <w:r>
        <w:rPr>
          <w:b/>
          <w:i w:val="0"/>
          <w:sz w:val="20"/>
        </w:rPr>
        <w:t>a release can be rolled back and an in-force contract cannot.</w:t>
      </w:r>
      <w:r>
        <w:rPr>
          <w:b w:val="0"/>
          <w:i w:val="0"/>
          <w:sz w:val="20"/>
        </w:rPr>
        <w:t xml:space="preserve"> The point of no return is not go-live. It is the first policy issued — and it arrives some time after launch, unannounced, when a producer somewhere submits an application that clears suitability review. Everything before it is reversible and is planned that way. Everything after it is permanent and is planned that way. </w:t>
      </w:r>
      <w:r>
        <w:rPr>
          <w:b/>
          <w:i w:val="0"/>
          <w:sz w:val="20"/>
        </w:rPr>
        <w:t>Rollback does not fail at cutover. It expires.</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Status at the date of this version.</w:t>
            </w:r>
            <w:r>
              <w:rPr>
                <w:b w:val="0"/>
                <w:i w:val="0"/>
                <w:sz w:val="20"/>
              </w:rPr>
              <w:t xml:space="preserve"> Program is in </w:t>
            </w:r>
            <w:r>
              <w:rPr>
                <w:b/>
                <w:i w:val="0"/>
                <w:sz w:val="20"/>
              </w:rPr>
              <w:t>Stage 2 — Development</w:t>
            </w:r>
            <w:r>
              <w:rPr>
                <w:b w:val="0"/>
                <w:i w:val="0"/>
                <w:sz w:val="20"/>
              </w:rPr>
              <w:t xml:space="preserve">, week 17 of 40. Launch is </w:t>
            </w:r>
            <w:r>
              <w:rPr>
                <w:b/>
                <w:i w:val="0"/>
                <w:sz w:val="20"/>
              </w:rPr>
              <w:t>06 March 2028</w:t>
            </w:r>
            <w:r>
              <w:rPr>
                <w:b w:val="0"/>
                <w:i w:val="0"/>
                <w:sz w:val="20"/>
              </w:rPr>
              <w:t xml:space="preserve">. Gate 4 (Launch Readiness) sits </w:t>
            </w:r>
            <w:r>
              <w:rPr>
                <w:b/>
                <w:i w:val="0"/>
                <w:sz w:val="20"/>
              </w:rPr>
              <w:t>11 days</w:t>
            </w:r>
            <w:r>
              <w:rPr>
                <w:b w:val="0"/>
                <w:i w:val="0"/>
                <w:sz w:val="20"/>
              </w:rPr>
              <w:t xml:space="preserve"> before it, and Gate 4 is what releases Stage 4 funding of </w:t>
            </w:r>
            <w:r>
              <w:rPr>
                <w:b/>
                <w:i w:val="0"/>
                <w:sz w:val="20"/>
              </w:rPr>
              <w:t>$4,330,000</w:t>
            </w:r>
            <w:r>
              <w:rPr>
                <w:b w:val="0"/>
                <w:i w:val="0"/>
                <w:sz w:val="20"/>
              </w:rPr>
              <w:t xml:space="preserve"> — including the vendor package that staffs hypercare. Operations is a </w:t>
            </w:r>
            <w:r>
              <w:rPr>
                <w:b/>
                <w:i w:val="0"/>
                <w:sz w:val="20"/>
              </w:rPr>
              <w:t>7-person</w:t>
            </w:r>
            <w:r>
              <w:rPr>
                <w:b w:val="0"/>
                <w:i w:val="0"/>
                <w:sz w:val="20"/>
              </w:rPr>
              <w:t xml:space="preserve"> team; the platform team is </w:t>
            </w:r>
            <w:r>
              <w:rPr>
                <w:b/>
                <w:i w:val="0"/>
                <w:sz w:val="20"/>
              </w:rPr>
              <w:t>10</w:t>
            </w:r>
            <w:r>
              <w:rPr>
                <w:b w:val="0"/>
                <w:i w:val="0"/>
                <w:sz w:val="20"/>
              </w:rPr>
              <w:t xml:space="preserve">. Status date </w:t>
            </w:r>
            <w:r>
              <w:rPr>
                <w:b/>
                <w:i w:val="0"/>
                <w:sz w:val="20"/>
              </w:rPr>
              <w:t>16 October 2026</w:t>
            </w:r>
            <w:r>
              <w:rPr>
                <w:b w:val="0"/>
                <w:i w:val="0"/>
                <w:sz w:val="20"/>
              </w:rPr>
              <w:t xml:space="preserve">. Three readiness criteria in §9 cannot close before Gate 4 by construction, and this plan says so rather than showing them amber. </w:t>
            </w:r>
          </w:p>
        </w:tc>
      </w:tr>
    </w:tbl>
    <w:p/>
    <w:p>
      <w:pPr>
        <w:spacing w:before="280" w:after="80"/>
      </w:pPr>
      <w:r>
        <w:rPr>
          <w:b/>
          <w:i w:val="0"/>
          <w:color w:val="14352A"/>
          <w:sz w:val="28"/>
        </w:rPr>
        <w:t>Contents</w:t>
      </w:r>
    </w:p>
    <w:p>
      <w:pPr>
        <w:pStyle w:val="ListNumber"/>
        <w:spacing w:after="60"/>
      </w:pPr>
      <w:r>
        <w:rPr>
          <w:b w:val="0"/>
          <w:i w:val="0"/>
          <w:sz w:val="20"/>
        </w:rPr>
        <w:t>Purpose, Scope &amp; the Point of No Return</w:t>
      </w:r>
    </w:p>
    <w:p>
      <w:pPr>
        <w:pStyle w:val="ListNumber"/>
        <w:spacing w:after="60"/>
      </w:pPr>
      <w:r>
        <w:rPr>
          <w:b w:val="0"/>
          <w:i w:val="0"/>
          <w:sz w:val="20"/>
        </w:rPr>
        <w:t>What Actually Changes at Launch</w:t>
      </w:r>
    </w:p>
    <w:p>
      <w:pPr>
        <w:pStyle w:val="ListNumber"/>
        <w:spacing w:after="60"/>
      </w:pPr>
      <w:r>
        <w:rPr>
          <w:b w:val="0"/>
          <w:i w:val="0"/>
          <w:sz w:val="20"/>
        </w:rPr>
        <w:t>The Day-One Operating Model — and Why It Is Not the Steady State</w:t>
      </w:r>
    </w:p>
    <w:p>
      <w:pPr>
        <w:pStyle w:val="ListNumber"/>
        <w:spacing w:after="60"/>
      </w:pPr>
      <w:r>
        <w:rPr>
          <w:b w:val="0"/>
          <w:i w:val="0"/>
          <w:sz w:val="20"/>
        </w:rPr>
        <w:t>New Business Processing &amp; the Suitability Review Constraint</w:t>
      </w:r>
    </w:p>
    <w:p>
      <w:pPr>
        <w:pStyle w:val="ListNumber"/>
        <w:spacing w:after="60"/>
      </w:pPr>
      <w:r>
        <w:rPr>
          <w:b w:val="0"/>
          <w:i w:val="0"/>
          <w:sz w:val="20"/>
        </w:rPr>
        <w:t>Policyholder Services, Correspondence &amp; the Free-Look Window</w:t>
      </w:r>
    </w:p>
    <w:p>
      <w:pPr>
        <w:pStyle w:val="ListNumber"/>
        <w:spacing w:after="60"/>
      </w:pPr>
      <w:r>
        <w:rPr>
          <w:b w:val="0"/>
          <w:i w:val="0"/>
          <w:sz w:val="20"/>
        </w:rPr>
        <w:t>Platform Cutover — Sequence, Environments &amp; Data</w:t>
      </w:r>
    </w:p>
    <w:p>
      <w:pPr>
        <w:pStyle w:val="ListNumber"/>
        <w:spacing w:after="60"/>
      </w:pPr>
      <w:r>
        <w:rPr>
          <w:b w:val="0"/>
          <w:i w:val="0"/>
          <w:sz w:val="20"/>
        </w:rPr>
        <w:t>The Rollback Question, and When It Expires</w:t>
      </w:r>
    </w:p>
    <w:p>
      <w:pPr>
        <w:pStyle w:val="ListNumber"/>
        <w:spacing w:after="60"/>
      </w:pPr>
      <w:r>
        <w:rPr>
          <w:b w:val="0"/>
          <w:i w:val="0"/>
          <w:sz w:val="20"/>
        </w:rPr>
        <w:t>Hypercare — Structure, Staffing and Unreleased Funding</w:t>
      </w:r>
    </w:p>
    <w:p>
      <w:pPr>
        <w:pStyle w:val="ListNumber"/>
        <w:spacing w:after="60"/>
      </w:pPr>
      <w:r>
        <w:rPr>
          <w:b w:val="0"/>
          <w:i w:val="0"/>
          <w:sz w:val="20"/>
        </w:rPr>
        <w:t>Readiness Criteria and the 11-Day Window</w:t>
      </w:r>
    </w:p>
    <w:p>
      <w:pPr>
        <w:pStyle w:val="ListNumber"/>
        <w:spacing w:after="60"/>
      </w:pPr>
      <w:r>
        <w:rPr>
          <w:b w:val="0"/>
          <w:i w:val="0"/>
          <w:sz w:val="20"/>
        </w:rPr>
        <w:t>Dependencies Operations Does Not Own</w:t>
      </w:r>
    </w:p>
    <w:p>
      <w:pPr>
        <w:pStyle w:val="ListNumber"/>
        <w:spacing w:after="60"/>
      </w:pPr>
      <w:r>
        <w:rPr>
          <w:b w:val="0"/>
          <w:i w:val="0"/>
          <w:sz w:val="20"/>
        </w:rPr>
        <w:t>Risks, Issues &amp; Register Linkage</w:t>
      </w:r>
    </w:p>
    <w:p>
      <w:pPr>
        <w:pStyle w:val="ListNumber"/>
        <w:spacing w:after="60"/>
      </w:pPr>
      <w:r>
        <w:rPr>
          <w:b w:val="0"/>
          <w:i w:val="0"/>
          <w:sz w:val="20"/>
        </w:rPr>
        <w:t>Governance, Ownership &amp; Document Control</w:t>
      </w:r>
    </w:p>
    <w:p>
      <w:pPr>
        <w:spacing w:before="280" w:after="80"/>
      </w:pPr>
      <w:r>
        <w:rPr>
          <w:b/>
          <w:i w:val="0"/>
          <w:color w:val="14352A"/>
          <w:sz w:val="28"/>
        </w:rPr>
        <w:t>1. Purpose, Scope &amp; the Point of No Return</w:t>
      </w:r>
    </w:p>
    <w:p>
      <w:pPr>
        <w:spacing w:after="120"/>
      </w:pPr>
      <w:r>
        <w:rPr>
          <w:b w:val="0"/>
          <w:i w:val="0"/>
          <w:sz w:val="20"/>
        </w:rPr>
        <w:t>This plan covers the operational readiness of Lighthouse Financial Services Company to sell, issue and administer the Beacon Index Advantage, and the cutover activity that moves the platform configuration into production. It covers new business intake, suitability review, policy issue, funding, policyholder services, correspondence, reconciliation and the hypercare period that follows launch.</w:t>
      </w:r>
    </w:p>
    <w:p>
      <w:pPr>
        <w:spacing w:before="200" w:after="80"/>
      </w:pPr>
      <w:r>
        <w:rPr>
          <w:b/>
          <w:i w:val="0"/>
          <w:color w:val="14352A"/>
          <w:sz w:val="24"/>
        </w:rPr>
        <w:t>1.1 The organizing distinction</w:t>
      </w:r>
    </w:p>
    <w:p>
      <w:pPr>
        <w:spacing w:after="120"/>
      </w:pPr>
      <w:r>
        <w:rPr>
          <w:b w:val="0"/>
          <w:i w:val="0"/>
          <w:sz w:val="20"/>
        </w:rPr>
        <w:t>Cutover plans in most industries are built on an assumption so ordinary it is rarely stated: if the thing goes wrong, you put back what was there before. That assumption is available here right up until it isn't. Configuration can be reverted. Rate tables can be reloaded. Interfaces can be disabled. A sales portal can be closed. None of that is difficult and all of it is planned in §6.</w:t>
      </w:r>
    </w:p>
    <w:p>
      <w:pPr>
        <w:spacing w:after="120"/>
      </w:pPr>
      <w:r>
        <w:rPr>
          <w:b w:val="0"/>
          <w:i w:val="0"/>
          <w:sz w:val="20"/>
        </w:rPr>
        <w:t>What cannot be reverted is a contract. The moment an application is accepted and a policy is issued, a person owns a financial instrument this company is obliged to honor for decades. There is no release note that undoes it. This produces a plan with two halves that obey different rules: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Phase</w:t>
            </w:r>
          </w:p>
        </w:tc>
        <w:tc>
          <w:tcPr>
            <w:tcW w:type="dxa" w:w="3216"/>
            <w:shd w:val="clear" w:fill="14352A"/>
          </w:tcPr>
          <w:p>
            <w:pPr>
              <w:spacing w:before="40" w:after="40"/>
            </w:pPr>
            <w:r>
              <w:rPr>
                <w:b/>
                <w:i w:val="0"/>
                <w:color w:val="FFFFFF"/>
                <w:sz w:val="17"/>
              </w:rPr>
              <w:t>Governing question</w:t>
            </w:r>
          </w:p>
        </w:tc>
        <w:tc>
          <w:tcPr>
            <w:tcW w:type="dxa" w:w="3216"/>
            <w:shd w:val="clear" w:fill="14352A"/>
          </w:tcPr>
          <w:p>
            <w:pPr>
              <w:spacing w:before="40" w:after="40"/>
            </w:pPr>
            <w:r>
              <w:rPr>
                <w:b/>
                <w:i w:val="0"/>
                <w:color w:val="FFFFFF"/>
                <w:sz w:val="17"/>
              </w:rPr>
              <w:t>Failure response</w:t>
            </w:r>
          </w:p>
        </w:tc>
      </w:tr>
      <w:tr>
        <w:tc>
          <w:tcPr>
            <w:tcW w:type="dxa" w:w="3216"/>
          </w:tcPr>
          <w:p>
            <w:pPr>
              <w:spacing w:before="40" w:after="40"/>
            </w:pPr>
            <w:r>
              <w:rPr>
                <w:b/>
                <w:i w:val="0"/>
                <w:sz w:val="17"/>
              </w:rPr>
              <w:t>Before first issue</w:t>
            </w:r>
          </w:p>
        </w:tc>
        <w:tc>
          <w:tcPr>
            <w:tcW w:type="dxa" w:w="3216"/>
          </w:tcPr>
          <w:p>
            <w:pPr>
              <w:spacing w:before="40" w:after="40"/>
            </w:pPr>
            <w:r>
              <w:rPr>
                <w:b w:val="0"/>
                <w:i w:val="0"/>
                <w:sz w:val="17"/>
              </w:rPr>
              <w:t>Can we still stop?</w:t>
            </w:r>
          </w:p>
        </w:tc>
        <w:tc>
          <w:tcPr>
            <w:tcW w:type="dxa" w:w="3216"/>
          </w:tcPr>
          <w:p>
            <w:pPr>
              <w:spacing w:before="40" w:after="40"/>
            </w:pPr>
            <w:r>
              <w:rPr>
                <w:b w:val="0"/>
                <w:i w:val="0"/>
                <w:sz w:val="17"/>
              </w:rPr>
              <w:t>Stop. Revert. The cost is schedule and credibility, both survivable.</w:t>
            </w:r>
          </w:p>
        </w:tc>
      </w:tr>
      <w:tr>
        <w:tc>
          <w:tcPr>
            <w:tcW w:type="dxa" w:w="3216"/>
          </w:tcPr>
          <w:p>
            <w:pPr>
              <w:spacing w:before="40" w:after="40"/>
            </w:pPr>
            <w:r>
              <w:rPr>
                <w:b/>
                <w:i w:val="0"/>
                <w:sz w:val="17"/>
              </w:rPr>
              <w:t>After first issue</w:t>
            </w:r>
          </w:p>
        </w:tc>
        <w:tc>
          <w:tcPr>
            <w:tcW w:type="dxa" w:w="3216"/>
          </w:tcPr>
          <w:p>
            <w:pPr>
              <w:spacing w:before="40" w:after="40"/>
            </w:pPr>
            <w:r>
              <w:rPr>
                <w:b w:val="0"/>
                <w:i w:val="0"/>
                <w:sz w:val="17"/>
              </w:rPr>
              <w:t>Can we still serve the people who bought it?</w:t>
            </w:r>
          </w:p>
        </w:tc>
        <w:tc>
          <w:tcPr>
            <w:tcW w:type="dxa" w:w="3216"/>
          </w:tcPr>
          <w:p>
            <w:pPr>
              <w:spacing w:before="40" w:after="40"/>
            </w:pPr>
            <w:r>
              <w:rPr>
                <w:b w:val="0"/>
                <w:i w:val="0"/>
                <w:sz w:val="17"/>
              </w:rPr>
              <w:t>Forward-only. Remediate in place. Every option now involves policyholders.</w:t>
            </w:r>
          </w:p>
        </w:tc>
      </w:tr>
    </w:tbl>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The point of no return is not on the schedule, and that is the problem.</w:t>
            </w:r>
            <w:r>
              <w:rPr>
                <w:b w:val="0"/>
                <w:i w:val="0"/>
                <w:sz w:val="20"/>
              </w:rPr>
              <w:t xml:space="preserve"> Launch day is a date. First policy issued is an </w:t>
            </w:r>
            <w:r>
              <w:rPr>
                <w:b w:val="0"/>
                <w:i/>
                <w:sz w:val="20"/>
              </w:rPr>
              <w:t>event</w:t>
            </w:r>
            <w:r>
              <w:rPr>
                <w:b w:val="0"/>
                <w:i w:val="0"/>
                <w:sz w:val="20"/>
              </w:rPr>
              <w:t xml:space="preserve">, and it depends on producer behavior nobody controls. It could be launch morning. It could be nine days later. A cutover plan that treats go-live as the irreversible moment is measuring the wrong thing — and a plan that assumes a comfortable gap is assuming the one variable it has least claim on. §7 defines what the program does about a boundary it cannot schedule. </w:t>
            </w:r>
          </w:p>
        </w:tc>
      </w:tr>
    </w:tbl>
    <w:p/>
    <w:p>
      <w:pPr>
        <w:spacing w:before="200" w:after="80"/>
      </w:pPr>
      <w:r>
        <w:rPr>
          <w:b/>
          <w:i w:val="0"/>
          <w:color w:val="14352A"/>
          <w:sz w:val="24"/>
        </w:rPr>
        <w:t>1.2 What this plan does not cover</w:t>
      </w:r>
    </w:p>
    <w:p>
      <w:pPr>
        <w:pStyle w:val="ListBullet"/>
        <w:spacing w:after="60"/>
      </w:pPr>
      <w:r>
        <w:rPr>
          <w:b/>
          <w:i w:val="0"/>
          <w:sz w:val="20"/>
        </w:rPr>
        <w:t>Product design and pricing</w:t>
      </w:r>
      <w:r>
        <w:rPr>
          <w:b w:val="0"/>
          <w:i w:val="0"/>
          <w:sz w:val="20"/>
        </w:rPr>
        <w:t xml:space="preserve"> — owned by the Actuarial Pricing &amp; Assumption Summary.</w:t>
      </w:r>
    </w:p>
    <w:p>
      <w:pPr>
        <w:pStyle w:val="ListBullet"/>
        <w:spacing w:after="60"/>
      </w:pPr>
      <w:r>
        <w:rPr>
          <w:b/>
          <w:i w:val="0"/>
          <w:sz w:val="20"/>
        </w:rPr>
        <w:t>Test execution and defect management</w:t>
      </w:r>
      <w:r>
        <w:rPr>
          <w:b w:val="0"/>
          <w:i w:val="0"/>
          <w:sz w:val="20"/>
        </w:rPr>
        <w:t xml:space="preserve"> — owned by the Master Test &amp; Validation Strategy. This plan consumes its output, specifically the workaround rule discussed in §9.2.</w:t>
      </w:r>
    </w:p>
    <w:p>
      <w:pPr>
        <w:pStyle w:val="ListBullet"/>
        <w:spacing w:after="60"/>
      </w:pPr>
      <w:r>
        <w:rPr>
          <w:b/>
          <w:i w:val="0"/>
          <w:sz w:val="20"/>
        </w:rPr>
        <w:t>Producer appointment and certification</w:t>
      </w:r>
      <w:r>
        <w:rPr>
          <w:b w:val="0"/>
          <w:i w:val="0"/>
          <w:sz w:val="20"/>
        </w:rPr>
        <w:t xml:space="preserve"> — owned by the Distribution &amp; Advisor Enablement Plan. Operations inherits the volume that plan produces and does not influence it.</w:t>
      </w:r>
    </w:p>
    <w:p>
      <w:pPr>
        <w:pStyle w:val="ListBullet"/>
        <w:spacing w:after="60"/>
      </w:pPr>
      <w:r>
        <w:rPr>
          <w:b/>
          <w:i w:val="0"/>
          <w:sz w:val="20"/>
        </w:rPr>
        <w:t>The launch go / no-go decision itself</w:t>
      </w:r>
      <w:r>
        <w:rPr>
          <w:b w:val="0"/>
          <w:i w:val="0"/>
          <w:sz w:val="20"/>
        </w:rPr>
        <w:t xml:space="preserve"> — owned by the Launch Readiness Criteria. This plan supplies evidence into that decision; it does not make it.</w:t>
      </w:r>
    </w:p>
    <w:p>
      <w:pPr>
        <w:spacing w:before="280" w:after="80"/>
      </w:pPr>
      <w:r>
        <w:rPr>
          <w:b/>
          <w:i w:val="0"/>
          <w:color w:val="14352A"/>
          <w:sz w:val="28"/>
        </w:rPr>
        <w:t>2. What Actually Changes at Launch</w:t>
      </w:r>
    </w:p>
    <w:p>
      <w:pPr>
        <w:spacing w:after="120"/>
      </w:pPr>
      <w:r>
        <w:rPr>
          <w:b w:val="0"/>
          <w:i w:val="0"/>
          <w:sz w:val="20"/>
        </w:rPr>
        <w:t>A useful readiness plan starts by being honest about how much is genuinely new, because readiness effort should concentrate where the novelty is. Lighthouse Financial Services Company already administers annuity business. The platform already exists. Most of what happens on launch day is a variation of what the operation does every day. Treating all of it as new dilutes attention away from the parts that actually are.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Operational area</w:t>
            </w:r>
          </w:p>
        </w:tc>
        <w:tc>
          <w:tcPr>
            <w:tcW w:type="dxa" w:w="3216"/>
            <w:shd w:val="clear" w:fill="14352A"/>
          </w:tcPr>
          <w:p>
            <w:pPr>
              <w:spacing w:before="40" w:after="40"/>
            </w:pPr>
            <w:r>
              <w:rPr>
                <w:b/>
                <w:i w:val="0"/>
                <w:color w:val="FFFFFF"/>
                <w:sz w:val="17"/>
              </w:rPr>
              <w:t>Degree of change</w:t>
            </w:r>
          </w:p>
        </w:tc>
        <w:tc>
          <w:tcPr>
            <w:tcW w:type="dxa" w:w="3216"/>
            <w:shd w:val="clear" w:fill="14352A"/>
          </w:tcPr>
          <w:p>
            <w:pPr>
              <w:spacing w:before="40" w:after="40"/>
            </w:pPr>
            <w:r>
              <w:rPr>
                <w:b/>
                <w:i w:val="0"/>
                <w:color w:val="FFFFFF"/>
                <w:sz w:val="17"/>
              </w:rPr>
              <w:t>Readiness implication</w:t>
            </w:r>
          </w:p>
        </w:tc>
      </w:tr>
      <w:tr>
        <w:tc>
          <w:tcPr>
            <w:tcW w:type="dxa" w:w="3216"/>
          </w:tcPr>
          <w:p>
            <w:pPr>
              <w:spacing w:before="40" w:after="40"/>
            </w:pPr>
            <w:r>
              <w:rPr>
                <w:b w:val="0"/>
                <w:i w:val="0"/>
                <w:sz w:val="17"/>
              </w:rPr>
              <w:t>Application intake and imaging</w:t>
            </w:r>
          </w:p>
        </w:tc>
        <w:tc>
          <w:tcPr>
            <w:tcW w:type="dxa" w:w="3216"/>
          </w:tcPr>
          <w:p>
            <w:pPr>
              <w:spacing w:before="40" w:after="40"/>
            </w:pPr>
            <w:r>
              <w:rPr>
                <w:b w:val="0"/>
                <w:i w:val="0"/>
                <w:sz w:val="17"/>
              </w:rPr>
              <w:t>Minimal</w:t>
            </w:r>
          </w:p>
        </w:tc>
        <w:tc>
          <w:tcPr>
            <w:tcW w:type="dxa" w:w="3216"/>
          </w:tcPr>
          <w:p>
            <w:pPr>
              <w:spacing w:before="40" w:after="40"/>
            </w:pPr>
            <w:r>
              <w:rPr>
                <w:b w:val="0"/>
                <w:i w:val="0"/>
                <w:sz w:val="17"/>
              </w:rPr>
              <w:t>Existing workflow, new product code. Configuration check, not retraining.</w:t>
            </w:r>
          </w:p>
        </w:tc>
      </w:tr>
      <w:tr>
        <w:tc>
          <w:tcPr>
            <w:tcW w:type="dxa" w:w="3216"/>
          </w:tcPr>
          <w:p>
            <w:pPr>
              <w:spacing w:before="40" w:after="40"/>
            </w:pPr>
            <w:r>
              <w:rPr>
                <w:b w:val="0"/>
                <w:i w:val="0"/>
                <w:sz w:val="17"/>
              </w:rPr>
              <w:t>Suitability review</w:t>
            </w:r>
          </w:p>
        </w:tc>
        <w:tc>
          <w:tcPr>
            <w:tcW w:type="dxa" w:w="3216"/>
          </w:tcPr>
          <w:p>
            <w:pPr>
              <w:spacing w:before="40" w:after="40"/>
            </w:pPr>
            <w:r>
              <w:rPr>
                <w:b w:val="0"/>
                <w:i w:val="0"/>
                <w:sz w:val="17"/>
              </w:rPr>
              <w:t>Substantial</w:t>
            </w:r>
          </w:p>
        </w:tc>
        <w:tc>
          <w:tcPr>
            <w:tcW w:type="dxa" w:w="3216"/>
          </w:tcPr>
          <w:p>
            <w:pPr>
              <w:spacing w:before="40" w:after="40"/>
            </w:pPr>
            <w:r>
              <w:rPr>
                <w:b w:val="0"/>
                <w:i w:val="0"/>
                <w:sz w:val="17"/>
              </w:rPr>
              <w:t>New product, new crediting mechanics, and a volume assumption the current staffing was never sized against. See §4.</w:t>
            </w:r>
          </w:p>
        </w:tc>
      </w:tr>
      <w:tr>
        <w:tc>
          <w:tcPr>
            <w:tcW w:type="dxa" w:w="3216"/>
          </w:tcPr>
          <w:p>
            <w:pPr>
              <w:spacing w:before="40" w:after="40"/>
            </w:pPr>
            <w:r>
              <w:rPr>
                <w:b w:val="0"/>
                <w:i w:val="0"/>
                <w:sz w:val="17"/>
              </w:rPr>
              <w:t>Policy issue and contract assembly</w:t>
            </w:r>
          </w:p>
        </w:tc>
        <w:tc>
          <w:tcPr>
            <w:tcW w:type="dxa" w:w="3216"/>
          </w:tcPr>
          <w:p>
            <w:pPr>
              <w:spacing w:before="40" w:after="40"/>
            </w:pPr>
            <w:r>
              <w:rPr>
                <w:b w:val="0"/>
                <w:i w:val="0"/>
                <w:sz w:val="17"/>
              </w:rPr>
              <w:t>Moderate</w:t>
            </w:r>
          </w:p>
        </w:tc>
        <w:tc>
          <w:tcPr>
            <w:tcW w:type="dxa" w:w="3216"/>
          </w:tcPr>
          <w:p>
            <w:pPr>
              <w:spacing w:before="40" w:after="40"/>
            </w:pPr>
            <w:r>
              <w:rPr>
                <w:b w:val="0"/>
                <w:i w:val="0"/>
                <w:sz w:val="17"/>
              </w:rPr>
              <w:t>New forms, and the forms are not approved yet (I-05). Cannot be finalized upstream of filing.</w:t>
            </w:r>
          </w:p>
        </w:tc>
      </w:tr>
      <w:tr>
        <w:tc>
          <w:tcPr>
            <w:tcW w:type="dxa" w:w="3216"/>
          </w:tcPr>
          <w:p>
            <w:pPr>
              <w:spacing w:before="40" w:after="40"/>
            </w:pPr>
            <w:r>
              <w:rPr>
                <w:b w:val="0"/>
                <w:i w:val="0"/>
                <w:sz w:val="17"/>
              </w:rPr>
              <w:t>Premium funding and 1035 exchanges</w:t>
            </w:r>
          </w:p>
        </w:tc>
        <w:tc>
          <w:tcPr>
            <w:tcW w:type="dxa" w:w="3216"/>
          </w:tcPr>
          <w:p>
            <w:pPr>
              <w:spacing w:before="40" w:after="40"/>
            </w:pPr>
            <w:r>
              <w:rPr>
                <w:b w:val="0"/>
                <w:i w:val="0"/>
                <w:sz w:val="17"/>
              </w:rPr>
              <w:t>Minimal</w:t>
            </w:r>
          </w:p>
        </w:tc>
        <w:tc>
          <w:tcPr>
            <w:tcW w:type="dxa" w:w="3216"/>
          </w:tcPr>
          <w:p>
            <w:pPr>
              <w:spacing w:before="40" w:after="40"/>
            </w:pPr>
            <w:r>
              <w:rPr>
                <w:b w:val="0"/>
                <w:i w:val="0"/>
                <w:sz w:val="17"/>
              </w:rPr>
              <w:t>Existing process. Exchange volume may rise; that is a capacity question, not a design question.</w:t>
            </w:r>
          </w:p>
        </w:tc>
      </w:tr>
      <w:tr>
        <w:tc>
          <w:tcPr>
            <w:tcW w:type="dxa" w:w="3216"/>
          </w:tcPr>
          <w:p>
            <w:pPr>
              <w:spacing w:before="40" w:after="40"/>
            </w:pPr>
            <w:r>
              <w:rPr>
                <w:b w:val="0"/>
                <w:i w:val="0"/>
                <w:sz w:val="17"/>
              </w:rPr>
              <w:t>Index crediting administration</w:t>
            </w:r>
          </w:p>
        </w:tc>
        <w:tc>
          <w:tcPr>
            <w:tcW w:type="dxa" w:w="3216"/>
          </w:tcPr>
          <w:p>
            <w:pPr>
              <w:spacing w:before="40" w:after="40"/>
            </w:pPr>
            <w:r>
              <w:rPr>
                <w:b w:val="0"/>
                <w:i w:val="0"/>
                <w:sz w:val="17"/>
              </w:rPr>
              <w:t>Substantial</w:t>
            </w:r>
          </w:p>
        </w:tc>
        <w:tc>
          <w:tcPr>
            <w:tcW w:type="dxa" w:w="3216"/>
          </w:tcPr>
          <w:p>
            <w:pPr>
              <w:spacing w:before="40" w:after="40"/>
            </w:pPr>
            <w:r>
              <w:rPr>
                <w:b w:val="0"/>
                <w:i w:val="0"/>
                <w:sz w:val="17"/>
              </w:rPr>
              <w:t>Genuinely new mechanics. First crediting cycle falls well after launch, which makes it easy to under-prepare and impossible to fix late.</w:t>
            </w:r>
          </w:p>
        </w:tc>
      </w:tr>
      <w:tr>
        <w:tc>
          <w:tcPr>
            <w:tcW w:type="dxa" w:w="3216"/>
          </w:tcPr>
          <w:p>
            <w:pPr>
              <w:spacing w:before="40" w:after="40"/>
            </w:pPr>
            <w:r>
              <w:rPr>
                <w:b w:val="0"/>
                <w:i w:val="0"/>
                <w:sz w:val="17"/>
              </w:rPr>
              <w:t>Illustrations and in-force quoting</w:t>
            </w:r>
          </w:p>
        </w:tc>
        <w:tc>
          <w:tcPr>
            <w:tcW w:type="dxa" w:w="3216"/>
          </w:tcPr>
          <w:p>
            <w:pPr>
              <w:spacing w:before="40" w:after="40"/>
            </w:pPr>
            <w:r>
              <w:rPr>
                <w:b w:val="0"/>
                <w:i w:val="0"/>
                <w:sz w:val="17"/>
              </w:rPr>
              <w:t>Moderate</w:t>
            </w:r>
          </w:p>
        </w:tc>
        <w:tc>
          <w:tcPr>
            <w:tcW w:type="dxa" w:w="3216"/>
          </w:tcPr>
          <w:p>
            <w:pPr>
              <w:spacing w:before="40" w:after="40"/>
            </w:pPr>
            <w:r>
              <w:rPr>
                <w:b w:val="0"/>
                <w:i w:val="0"/>
                <w:sz w:val="17"/>
              </w:rPr>
              <w:t>Governed by the filed methodology, not the specification. Operations cannot resolve a discrepancy locally.</w:t>
            </w:r>
          </w:p>
        </w:tc>
      </w:tr>
      <w:tr>
        <w:tc>
          <w:tcPr>
            <w:tcW w:type="dxa" w:w="3216"/>
          </w:tcPr>
          <w:p>
            <w:pPr>
              <w:spacing w:before="40" w:after="40"/>
            </w:pPr>
            <w:r>
              <w:rPr>
                <w:b w:val="0"/>
                <w:i w:val="0"/>
                <w:sz w:val="17"/>
              </w:rPr>
              <w:t>Correspondence and confirmations</w:t>
            </w:r>
          </w:p>
        </w:tc>
        <w:tc>
          <w:tcPr>
            <w:tcW w:type="dxa" w:w="3216"/>
          </w:tcPr>
          <w:p>
            <w:pPr>
              <w:spacing w:before="40" w:after="40"/>
            </w:pPr>
            <w:r>
              <w:rPr>
                <w:b w:val="0"/>
                <w:i w:val="0"/>
                <w:sz w:val="17"/>
              </w:rPr>
              <w:t>Moderate</w:t>
            </w:r>
          </w:p>
        </w:tc>
        <w:tc>
          <w:tcPr>
            <w:tcW w:type="dxa" w:w="3216"/>
          </w:tcPr>
          <w:p>
            <w:pPr>
              <w:spacing w:before="40" w:after="40"/>
            </w:pPr>
            <w:r>
              <w:rPr>
                <w:b w:val="0"/>
                <w:i w:val="0"/>
                <w:sz w:val="17"/>
              </w:rPr>
              <w:t>New templates, state-variable content, and free-look language that has to be right the first time.</w:t>
            </w:r>
          </w:p>
        </w:tc>
      </w:tr>
      <w:tr>
        <w:tc>
          <w:tcPr>
            <w:tcW w:type="dxa" w:w="3216"/>
          </w:tcPr>
          <w:p>
            <w:pPr>
              <w:spacing w:before="40" w:after="40"/>
            </w:pPr>
            <w:r>
              <w:rPr>
                <w:b w:val="0"/>
                <w:i w:val="0"/>
                <w:sz w:val="17"/>
              </w:rPr>
              <w:t>Valuation and reserve reporting</w:t>
            </w:r>
          </w:p>
        </w:tc>
        <w:tc>
          <w:tcPr>
            <w:tcW w:type="dxa" w:w="3216"/>
          </w:tcPr>
          <w:p>
            <w:pPr>
              <w:spacing w:before="40" w:after="40"/>
            </w:pPr>
            <w:r>
              <w:rPr>
                <w:b w:val="0"/>
                <w:i w:val="0"/>
                <w:sz w:val="17"/>
              </w:rPr>
              <w:t>Moderate</w:t>
            </w:r>
          </w:p>
        </w:tc>
        <w:tc>
          <w:tcPr>
            <w:tcW w:type="dxa" w:w="3216"/>
          </w:tcPr>
          <w:p>
            <w:pPr>
              <w:spacing w:before="40" w:after="40"/>
            </w:pPr>
            <w:r>
              <w:rPr>
                <w:b w:val="0"/>
                <w:i w:val="0"/>
                <w:sz w:val="17"/>
              </w:rPr>
              <w:t>First cycle is the proof. Nothing before it is evidence.</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two substantial items are not the two loudest items.</w:t>
            </w:r>
            <w:r>
              <w:rPr>
                <w:b w:val="0"/>
                <w:i w:val="0"/>
                <w:sz w:val="20"/>
              </w:rPr>
              <w:t xml:space="preserve"> Launch attention naturally goes to policy issue, because that is the visible moment. But issue is a moderate change to an existing process, while suitability review and index crediting administration are the areas where this product genuinely differs from what the operation already does. Readiness effort is allocated accordingly, and §9 reflects that rather than distributing criteria evenly for the look of balance. </w:t>
            </w:r>
          </w:p>
        </w:tc>
      </w:tr>
    </w:tbl>
    <w:p/>
    <w:p>
      <w:pPr>
        <w:spacing w:before="280" w:after="80"/>
      </w:pPr>
      <w:r>
        <w:rPr>
          <w:b/>
          <w:i w:val="0"/>
          <w:color w:val="14352A"/>
          <w:sz w:val="28"/>
        </w:rPr>
        <w:t>3. The Day-One Operating Model — and Why It Is Not the Steady State</w:t>
      </w:r>
    </w:p>
    <w:p>
      <w:pPr>
        <w:spacing w:after="120"/>
      </w:pPr>
      <w:r>
        <w:rPr>
          <w:b w:val="0"/>
          <w:i w:val="0"/>
          <w:sz w:val="20"/>
        </w:rPr>
        <w:t xml:space="preserve">Operations is a </w:t>
      </w:r>
      <w:r>
        <w:rPr>
          <w:b/>
          <w:i w:val="0"/>
          <w:sz w:val="20"/>
        </w:rPr>
        <w:t>7-person</w:t>
      </w:r>
      <w:r>
        <w:rPr>
          <w:b w:val="0"/>
          <w:i w:val="0"/>
          <w:sz w:val="20"/>
        </w:rPr>
        <w:t xml:space="preserve"> team spanning new business and policyholder services, against a program labor envelope of </w:t>
      </w:r>
      <w:r>
        <w:rPr>
          <w:b/>
          <w:i w:val="0"/>
          <w:sz w:val="20"/>
        </w:rPr>
        <w:t>$856,800</w:t>
      </w:r>
      <w:r>
        <w:rPr>
          <w:b w:val="0"/>
          <w:i w:val="0"/>
          <w:sz w:val="20"/>
        </w:rPr>
        <w:t xml:space="preserve"> across </w:t>
      </w:r>
      <w:r>
        <w:rPr>
          <w:b/>
          <w:i w:val="0"/>
          <w:sz w:val="20"/>
        </w:rPr>
        <w:t>10,200</w:t>
      </w:r>
      <w:r>
        <w:rPr>
          <w:b w:val="0"/>
          <w:i w:val="0"/>
          <w:sz w:val="20"/>
        </w:rPr>
        <w:t xml:space="preserve"> hours. That team is sized for the program, not for the product's eventual in-force block.</w:t>
      </w:r>
    </w:p>
    <w:p>
      <w:pPr>
        <w:spacing w:before="200" w:after="80"/>
      </w:pPr>
      <w:r>
        <w:rPr>
          <w:b/>
          <w:i w:val="0"/>
          <w:color w:val="14352A"/>
          <w:sz w:val="24"/>
        </w:rPr>
        <w:t>3.1 Why a headcount is the wrong answer</w:t>
      </w:r>
    </w:p>
    <w:p>
      <w:pPr>
        <w:spacing w:after="120"/>
      </w:pPr>
      <w:r>
        <w:rPr>
          <w:b w:val="0"/>
          <w:i w:val="0"/>
          <w:sz w:val="20"/>
        </w:rPr>
        <w:t>The obvious readiness question — "how many people do we need on day one?" — has no honest answer, because day one volume is unknown and the plan's own volume assumption is contested. The Distribution plan reports written Year One commitments below target and field coverage at four wholesalers against six planned (I-06). Staffing to the target risks paying for capacity that never arrives; staffing to the shortfall risks failing the producers who do sell.</w:t>
      </w:r>
    </w:p>
    <w:p>
      <w:pPr>
        <w:spacing w:after="120"/>
      </w:pPr>
      <w:r>
        <w:rPr>
          <w:b w:val="0"/>
          <w:i w:val="0"/>
          <w:sz w:val="20"/>
        </w:rPr>
        <w:t xml:space="preserve">So the day-one model is defined by </w:t>
      </w:r>
      <w:r>
        <w:rPr>
          <w:b/>
          <w:i w:val="0"/>
          <w:sz w:val="20"/>
        </w:rPr>
        <w:t>triggers rather than headcount</w:t>
      </w:r>
      <w:r>
        <w:rPr>
          <w:b w:val="0"/>
          <w:i w:val="0"/>
          <w:sz w:val="20"/>
        </w:rPr>
        <w:t>. The operation opens at its current size and expands on observed volume, with the expansion pre-authorized so that it does not require a fresh approval cycle at the moment it is needed.</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Trigger</w:t>
            </w:r>
          </w:p>
        </w:tc>
        <w:tc>
          <w:tcPr>
            <w:tcW w:type="dxa" w:w="3216"/>
            <w:shd w:val="clear" w:fill="14352A"/>
          </w:tcPr>
          <w:p>
            <w:pPr>
              <w:spacing w:before="40" w:after="40"/>
            </w:pPr>
            <w:r>
              <w:rPr>
                <w:b/>
                <w:i w:val="0"/>
                <w:color w:val="FFFFFF"/>
                <w:sz w:val="17"/>
              </w:rPr>
              <w:t>Observed condition</w:t>
            </w:r>
          </w:p>
        </w:tc>
        <w:tc>
          <w:tcPr>
            <w:tcW w:type="dxa" w:w="3216"/>
            <w:shd w:val="clear" w:fill="14352A"/>
          </w:tcPr>
          <w:p>
            <w:pPr>
              <w:spacing w:before="40" w:after="40"/>
            </w:pPr>
            <w:r>
              <w:rPr>
                <w:b/>
                <w:i w:val="0"/>
                <w:color w:val="FFFFFF"/>
                <w:sz w:val="17"/>
              </w:rPr>
              <w:t>Pre-authorized response</w:t>
            </w:r>
          </w:p>
        </w:tc>
      </w:tr>
      <w:tr>
        <w:tc>
          <w:tcPr>
            <w:tcW w:type="dxa" w:w="3216"/>
          </w:tcPr>
          <w:p>
            <w:pPr>
              <w:spacing w:before="40" w:after="40"/>
            </w:pPr>
            <w:r>
              <w:rPr>
                <w:b/>
                <w:i w:val="0"/>
                <w:sz w:val="17"/>
              </w:rPr>
              <w:t>T1</w:t>
            </w:r>
          </w:p>
        </w:tc>
        <w:tc>
          <w:tcPr>
            <w:tcW w:type="dxa" w:w="3216"/>
          </w:tcPr>
          <w:p>
            <w:pPr>
              <w:spacing w:before="40" w:after="40"/>
            </w:pPr>
            <w:r>
              <w:rPr>
                <w:b w:val="0"/>
                <w:i w:val="0"/>
                <w:sz w:val="17"/>
              </w:rPr>
              <w:t>Applications sustained above plan for 10 working days</w:t>
            </w:r>
          </w:p>
        </w:tc>
        <w:tc>
          <w:tcPr>
            <w:tcW w:type="dxa" w:w="3216"/>
          </w:tcPr>
          <w:p>
            <w:pPr>
              <w:spacing w:before="40" w:after="40"/>
            </w:pPr>
            <w:r>
              <w:rPr>
                <w:b w:val="0"/>
                <w:i w:val="0"/>
                <w:sz w:val="17"/>
              </w:rPr>
              <w:t>Extend intake hours; second reviewer cross-trained and released from project work.</w:t>
            </w:r>
          </w:p>
        </w:tc>
      </w:tr>
      <w:tr>
        <w:tc>
          <w:tcPr>
            <w:tcW w:type="dxa" w:w="3216"/>
          </w:tcPr>
          <w:p>
            <w:pPr>
              <w:spacing w:before="40" w:after="40"/>
            </w:pPr>
            <w:r>
              <w:rPr>
                <w:b/>
                <w:i w:val="0"/>
                <w:sz w:val="17"/>
              </w:rPr>
              <w:t>T2</w:t>
            </w:r>
          </w:p>
        </w:tc>
        <w:tc>
          <w:tcPr>
            <w:tcW w:type="dxa" w:w="3216"/>
          </w:tcPr>
          <w:p>
            <w:pPr>
              <w:spacing w:before="40" w:after="40"/>
            </w:pPr>
            <w:r>
              <w:rPr>
                <w:b w:val="0"/>
                <w:i w:val="0"/>
                <w:sz w:val="17"/>
              </w:rPr>
              <w:t>Suitability review queue exceeds 2 working days at any point</w:t>
            </w:r>
          </w:p>
        </w:tc>
        <w:tc>
          <w:tcPr>
            <w:tcW w:type="dxa" w:w="3216"/>
          </w:tcPr>
          <w:p>
            <w:pPr>
              <w:spacing w:before="40" w:after="40"/>
            </w:pPr>
            <w:r>
              <w:rPr>
                <w:b w:val="0"/>
                <w:i w:val="0"/>
                <w:sz w:val="17"/>
              </w:rPr>
              <w:t>Escalate to the trained backup reviewer; notify Distribution that turnaround is degrading before producers discover it.</w:t>
            </w:r>
          </w:p>
        </w:tc>
      </w:tr>
      <w:tr>
        <w:tc>
          <w:tcPr>
            <w:tcW w:type="dxa" w:w="3216"/>
          </w:tcPr>
          <w:p>
            <w:pPr>
              <w:spacing w:before="40" w:after="40"/>
            </w:pPr>
            <w:r>
              <w:rPr>
                <w:b/>
                <w:i w:val="0"/>
                <w:sz w:val="17"/>
              </w:rPr>
              <w:t>T3</w:t>
            </w:r>
          </w:p>
        </w:tc>
        <w:tc>
          <w:tcPr>
            <w:tcW w:type="dxa" w:w="3216"/>
          </w:tcPr>
          <w:p>
            <w:pPr>
              <w:spacing w:before="40" w:after="40"/>
            </w:pPr>
            <w:r>
              <w:rPr>
                <w:b w:val="0"/>
                <w:i w:val="0"/>
                <w:sz w:val="17"/>
              </w:rPr>
              <w:t>Issue-to-funding cycle exceeds the service standard for 5 consecutive days</w:t>
            </w:r>
          </w:p>
        </w:tc>
        <w:tc>
          <w:tcPr>
            <w:tcW w:type="dxa" w:w="3216"/>
          </w:tcPr>
          <w:p>
            <w:pPr>
              <w:spacing w:before="40" w:after="40"/>
            </w:pPr>
            <w:r>
              <w:rPr>
                <w:b w:val="0"/>
                <w:i w:val="0"/>
                <w:sz w:val="17"/>
              </w:rPr>
              <w:t>Daily stand-up moves to twice daily; hypercare vendor engaged on throughput, not defects.</w:t>
            </w:r>
          </w:p>
        </w:tc>
      </w:tr>
      <w:tr>
        <w:tc>
          <w:tcPr>
            <w:tcW w:type="dxa" w:w="3216"/>
          </w:tcPr>
          <w:p>
            <w:pPr>
              <w:spacing w:before="40" w:after="40"/>
            </w:pPr>
            <w:r>
              <w:rPr>
                <w:b/>
                <w:i w:val="0"/>
                <w:sz w:val="17"/>
              </w:rPr>
              <w:t>T4</w:t>
            </w:r>
          </w:p>
        </w:tc>
        <w:tc>
          <w:tcPr>
            <w:tcW w:type="dxa" w:w="3216"/>
          </w:tcPr>
          <w:p>
            <w:pPr>
              <w:spacing w:before="40" w:after="40"/>
            </w:pPr>
            <w:r>
              <w:rPr>
                <w:b w:val="0"/>
                <w:i w:val="0"/>
                <w:sz w:val="17"/>
              </w:rPr>
              <w:t>Any single crediting strategy exceeds 60% of new premium</w:t>
            </w:r>
          </w:p>
        </w:tc>
        <w:tc>
          <w:tcPr>
            <w:tcW w:type="dxa" w:w="3216"/>
          </w:tcPr>
          <w:p>
            <w:pPr>
              <w:spacing w:before="40" w:after="40"/>
            </w:pPr>
            <w:r>
              <w:rPr>
                <w:b w:val="0"/>
                <w:i w:val="0"/>
                <w:sz w:val="17"/>
              </w:rPr>
              <w:t>Notify the hedging desk same day. This is R-12 surfacing operationally, and Operations sees it first.</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T4 is in this plan because Operations is the earliest detector of a hedging problem.</w:t>
            </w:r>
            <w:r>
              <w:rPr>
                <w:b w:val="0"/>
                <w:i w:val="0"/>
                <w:sz w:val="20"/>
              </w:rPr>
              <w:t xml:space="preserve"> Sales concentration in one crediting strategy (R-12) reaches the Investments desk through reporting, which lags. It reaches new business processing in the application stack, which does not. Putting the trigger here costs nothing and buys days. </w:t>
            </w:r>
          </w:p>
        </w:tc>
      </w:tr>
    </w:tbl>
    <w:p/>
    <w:p>
      <w:pPr>
        <w:spacing w:before="200" w:after="80"/>
      </w:pPr>
      <w:r>
        <w:rPr>
          <w:b/>
          <w:i w:val="0"/>
          <w:color w:val="14352A"/>
          <w:sz w:val="24"/>
        </w:rPr>
        <w:t>3.2 Named day-one ownership</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Function</w:t>
            </w:r>
          </w:p>
        </w:tc>
        <w:tc>
          <w:tcPr>
            <w:tcW w:type="dxa" w:w="3216"/>
            <w:shd w:val="clear" w:fill="14352A"/>
          </w:tcPr>
          <w:p>
            <w:pPr>
              <w:spacing w:before="40" w:after="40"/>
            </w:pPr>
            <w:r>
              <w:rPr>
                <w:b/>
                <w:i w:val="0"/>
                <w:color w:val="FFFFFF"/>
                <w:sz w:val="17"/>
              </w:rPr>
              <w:t>Owner</w:t>
            </w:r>
          </w:p>
        </w:tc>
        <w:tc>
          <w:tcPr>
            <w:tcW w:type="dxa" w:w="3216"/>
            <w:shd w:val="clear" w:fill="14352A"/>
          </w:tcPr>
          <w:p>
            <w:pPr>
              <w:spacing w:before="40" w:after="40"/>
            </w:pPr>
            <w:r>
              <w:rPr>
                <w:b/>
                <w:i w:val="0"/>
                <w:color w:val="FFFFFF"/>
                <w:sz w:val="17"/>
              </w:rPr>
              <w:t>Role</w:t>
            </w:r>
          </w:p>
        </w:tc>
      </w:tr>
      <w:tr>
        <w:tc>
          <w:tcPr>
            <w:tcW w:type="dxa" w:w="3216"/>
          </w:tcPr>
          <w:p>
            <w:pPr>
              <w:spacing w:before="40" w:after="40"/>
            </w:pPr>
            <w:r>
              <w:rPr>
                <w:b w:val="0"/>
                <w:i w:val="0"/>
                <w:sz w:val="17"/>
              </w:rPr>
              <w:t>Overall operational readiness and the go / no-go operations input</w:t>
            </w:r>
          </w:p>
        </w:tc>
        <w:tc>
          <w:tcPr>
            <w:tcW w:type="dxa" w:w="3216"/>
          </w:tcPr>
          <w:p>
            <w:pPr>
              <w:spacing w:before="40" w:after="40"/>
            </w:pPr>
            <w:r>
              <w:rPr>
                <w:b w:val="0"/>
                <w:i w:val="0"/>
                <w:sz w:val="17"/>
              </w:rPr>
              <w:t>L. Marchand</w:t>
            </w:r>
          </w:p>
        </w:tc>
        <w:tc>
          <w:tcPr>
            <w:tcW w:type="dxa" w:w="3216"/>
          </w:tcPr>
          <w:p>
            <w:pPr>
              <w:spacing w:before="40" w:after="40"/>
            </w:pPr>
            <w:r>
              <w:rPr>
                <w:b w:val="0"/>
                <w:i w:val="0"/>
                <w:sz w:val="17"/>
              </w:rPr>
              <w:t>Director, Annuity Operations</w:t>
            </w:r>
          </w:p>
        </w:tc>
      </w:tr>
      <w:tr>
        <w:tc>
          <w:tcPr>
            <w:tcW w:type="dxa" w:w="3216"/>
          </w:tcPr>
          <w:p>
            <w:pPr>
              <w:spacing w:before="40" w:after="40"/>
            </w:pPr>
            <w:r>
              <w:rPr>
                <w:b w:val="0"/>
                <w:i w:val="0"/>
                <w:sz w:val="17"/>
              </w:rPr>
              <w:t>New business intake, issue and funding</w:t>
            </w:r>
          </w:p>
        </w:tc>
        <w:tc>
          <w:tcPr>
            <w:tcW w:type="dxa" w:w="3216"/>
          </w:tcPr>
          <w:p>
            <w:pPr>
              <w:spacing w:before="40" w:after="40"/>
            </w:pPr>
            <w:r>
              <w:rPr>
                <w:b w:val="0"/>
                <w:i w:val="0"/>
                <w:sz w:val="17"/>
              </w:rPr>
              <w:t>K. Beauchamp</w:t>
            </w:r>
          </w:p>
        </w:tc>
        <w:tc>
          <w:tcPr>
            <w:tcW w:type="dxa" w:w="3216"/>
          </w:tcPr>
          <w:p>
            <w:pPr>
              <w:spacing w:before="40" w:after="40"/>
            </w:pPr>
            <w:r>
              <w:rPr>
                <w:b w:val="0"/>
                <w:i w:val="0"/>
                <w:sz w:val="17"/>
              </w:rPr>
              <w:t>New Business Manager</w:t>
            </w:r>
          </w:p>
        </w:tc>
      </w:tr>
      <w:tr>
        <w:tc>
          <w:tcPr>
            <w:tcW w:type="dxa" w:w="3216"/>
          </w:tcPr>
          <w:p>
            <w:pPr>
              <w:spacing w:before="40" w:after="40"/>
            </w:pPr>
            <w:r>
              <w:rPr>
                <w:b w:val="0"/>
                <w:i w:val="0"/>
                <w:sz w:val="17"/>
              </w:rPr>
              <w:t>Policyholder services, correspondence and free-look handling</w:t>
            </w:r>
          </w:p>
        </w:tc>
        <w:tc>
          <w:tcPr>
            <w:tcW w:type="dxa" w:w="3216"/>
          </w:tcPr>
          <w:p>
            <w:pPr>
              <w:spacing w:before="40" w:after="40"/>
            </w:pPr>
            <w:r>
              <w:rPr>
                <w:b w:val="0"/>
                <w:i w:val="0"/>
                <w:sz w:val="17"/>
              </w:rPr>
              <w:t>R. Underwood</w:t>
            </w:r>
          </w:p>
        </w:tc>
        <w:tc>
          <w:tcPr>
            <w:tcW w:type="dxa" w:w="3216"/>
          </w:tcPr>
          <w:p>
            <w:pPr>
              <w:spacing w:before="40" w:after="40"/>
            </w:pPr>
            <w:r>
              <w:rPr>
                <w:b w:val="0"/>
                <w:i w:val="0"/>
                <w:sz w:val="17"/>
              </w:rPr>
              <w:t>Policyholder Services Manager</w:t>
            </w:r>
          </w:p>
        </w:tc>
      </w:tr>
      <w:tr>
        <w:tc>
          <w:tcPr>
            <w:tcW w:type="dxa" w:w="3216"/>
          </w:tcPr>
          <w:p>
            <w:pPr>
              <w:spacing w:before="40" w:after="40"/>
            </w:pPr>
            <w:r>
              <w:rPr>
                <w:b w:val="0"/>
                <w:i w:val="0"/>
                <w:sz w:val="17"/>
              </w:rPr>
              <w:t>Suitability review</w:t>
            </w:r>
          </w:p>
        </w:tc>
        <w:tc>
          <w:tcPr>
            <w:tcW w:type="dxa" w:w="3216"/>
          </w:tcPr>
          <w:p>
            <w:pPr>
              <w:spacing w:before="40" w:after="40"/>
            </w:pPr>
            <w:r>
              <w:rPr>
                <w:b w:val="0"/>
                <w:i w:val="0"/>
                <w:sz w:val="17"/>
              </w:rPr>
              <w:t>S. Carreno</w:t>
            </w:r>
          </w:p>
        </w:tc>
        <w:tc>
          <w:tcPr>
            <w:tcW w:type="dxa" w:w="3216"/>
          </w:tcPr>
          <w:p>
            <w:pPr>
              <w:spacing w:before="40" w:after="40"/>
            </w:pPr>
            <w:r>
              <w:rPr>
                <w:b w:val="0"/>
                <w:i w:val="0"/>
                <w:sz w:val="17"/>
              </w:rPr>
              <w:t>Suitability Review Analyst</w:t>
            </w:r>
          </w:p>
        </w:tc>
      </w:tr>
      <w:tr>
        <w:tc>
          <w:tcPr>
            <w:tcW w:type="dxa" w:w="3216"/>
          </w:tcPr>
          <w:p>
            <w:pPr>
              <w:spacing w:before="40" w:after="40"/>
            </w:pPr>
            <w:r>
              <w:rPr>
                <w:b w:val="0"/>
                <w:i w:val="0"/>
                <w:sz w:val="17"/>
              </w:rPr>
              <w:t>Procedures and training curriculum</w:t>
            </w:r>
          </w:p>
        </w:tc>
        <w:tc>
          <w:tcPr>
            <w:tcW w:type="dxa" w:w="3216"/>
          </w:tcPr>
          <w:p>
            <w:pPr>
              <w:spacing w:before="40" w:after="40"/>
            </w:pPr>
            <w:r>
              <w:rPr>
                <w:b w:val="0"/>
                <w:i w:val="0"/>
                <w:sz w:val="17"/>
              </w:rPr>
              <w:t>N. Jessup</w:t>
            </w:r>
          </w:p>
        </w:tc>
        <w:tc>
          <w:tcPr>
            <w:tcW w:type="dxa" w:w="3216"/>
          </w:tcPr>
          <w:p>
            <w:pPr>
              <w:spacing w:before="40" w:after="40"/>
            </w:pPr>
            <w:r>
              <w:rPr>
                <w:b w:val="0"/>
                <w:i w:val="0"/>
                <w:sz w:val="17"/>
              </w:rPr>
              <w:t>Training &amp; Procedures Analyst</w:t>
            </w:r>
          </w:p>
        </w:tc>
      </w:tr>
      <w:tr>
        <w:tc>
          <w:tcPr>
            <w:tcW w:type="dxa" w:w="3216"/>
          </w:tcPr>
          <w:p>
            <w:pPr>
              <w:spacing w:before="40" w:after="40"/>
            </w:pPr>
            <w:r>
              <w:rPr>
                <w:b w:val="0"/>
                <w:i w:val="0"/>
                <w:sz w:val="17"/>
              </w:rPr>
              <w:t>Process design and exception paths</w:t>
            </w:r>
          </w:p>
        </w:tc>
        <w:tc>
          <w:tcPr>
            <w:tcW w:type="dxa" w:w="3216"/>
          </w:tcPr>
          <w:p>
            <w:pPr>
              <w:spacing w:before="40" w:after="40"/>
            </w:pPr>
            <w:r>
              <w:rPr>
                <w:b w:val="0"/>
                <w:i w:val="0"/>
                <w:sz w:val="17"/>
              </w:rPr>
              <w:t>T. Haddadi</w:t>
            </w:r>
          </w:p>
        </w:tc>
        <w:tc>
          <w:tcPr>
            <w:tcW w:type="dxa" w:w="3216"/>
          </w:tcPr>
          <w:p>
            <w:pPr>
              <w:spacing w:before="40" w:after="40"/>
            </w:pPr>
            <w:r>
              <w:rPr>
                <w:b w:val="0"/>
                <w:i w:val="0"/>
                <w:sz w:val="17"/>
              </w:rPr>
              <w:t>Process Design Analyst</w:t>
            </w:r>
          </w:p>
        </w:tc>
      </w:tr>
      <w:tr>
        <w:tc>
          <w:tcPr>
            <w:tcW w:type="dxa" w:w="3216"/>
          </w:tcPr>
          <w:p>
            <w:pPr>
              <w:spacing w:before="40" w:after="40"/>
            </w:pPr>
            <w:r>
              <w:rPr>
                <w:b w:val="0"/>
                <w:i w:val="0"/>
                <w:sz w:val="17"/>
              </w:rPr>
              <w:t>Readiness evidence, dress rehearsals and criteria tracking</w:t>
            </w:r>
          </w:p>
        </w:tc>
        <w:tc>
          <w:tcPr>
            <w:tcW w:type="dxa" w:w="3216"/>
          </w:tcPr>
          <w:p>
            <w:pPr>
              <w:spacing w:before="40" w:after="40"/>
            </w:pPr>
            <w:r>
              <w:rPr>
                <w:b w:val="0"/>
                <w:i w:val="0"/>
                <w:sz w:val="17"/>
              </w:rPr>
              <w:t>D. Fairbairn</w:t>
            </w:r>
          </w:p>
        </w:tc>
        <w:tc>
          <w:tcPr>
            <w:tcW w:type="dxa" w:w="3216"/>
          </w:tcPr>
          <w:p>
            <w:pPr>
              <w:spacing w:before="40" w:after="40"/>
            </w:pPr>
            <w:r>
              <w:rPr>
                <w:b w:val="0"/>
                <w:i w:val="0"/>
                <w:sz w:val="17"/>
              </w:rPr>
              <w:t>Operations Readiness Analyst</w:t>
            </w:r>
          </w:p>
        </w:tc>
      </w:tr>
      <w:tr>
        <w:tc>
          <w:tcPr>
            <w:tcW w:type="dxa" w:w="3216"/>
          </w:tcPr>
          <w:p>
            <w:pPr>
              <w:spacing w:before="40" w:after="40"/>
            </w:pPr>
            <w:r>
              <w:rPr>
                <w:b w:val="0"/>
                <w:i w:val="0"/>
                <w:sz w:val="17"/>
              </w:rPr>
              <w:t>Platform cutover execution</w:t>
            </w:r>
          </w:p>
        </w:tc>
        <w:tc>
          <w:tcPr>
            <w:tcW w:type="dxa" w:w="3216"/>
          </w:tcPr>
          <w:p>
            <w:pPr>
              <w:spacing w:before="40" w:after="40"/>
            </w:pPr>
            <w:r>
              <w:rPr>
                <w:b w:val="0"/>
                <w:i w:val="0"/>
                <w:sz w:val="17"/>
              </w:rPr>
              <w:t>V. Sandoval</w:t>
            </w:r>
          </w:p>
        </w:tc>
        <w:tc>
          <w:tcPr>
            <w:tcW w:type="dxa" w:w="3216"/>
          </w:tcPr>
          <w:p>
            <w:pPr>
              <w:spacing w:before="40" w:after="40"/>
            </w:pPr>
            <w:r>
              <w:rPr>
                <w:b w:val="0"/>
                <w:i w:val="0"/>
                <w:sz w:val="17"/>
              </w:rPr>
              <w:t>Platform Delivery Lead</w:t>
            </w:r>
          </w:p>
        </w:tc>
      </w:tr>
      <w:tr>
        <w:tc>
          <w:tcPr>
            <w:tcW w:type="dxa" w:w="3216"/>
          </w:tcPr>
          <w:p>
            <w:pPr>
              <w:spacing w:before="40" w:after="40"/>
            </w:pPr>
            <w:r>
              <w:rPr>
                <w:b w:val="0"/>
                <w:i w:val="0"/>
                <w:sz w:val="17"/>
              </w:rPr>
              <w:t>Release and environment control</w:t>
            </w:r>
          </w:p>
        </w:tc>
        <w:tc>
          <w:tcPr>
            <w:tcW w:type="dxa" w:w="3216"/>
          </w:tcPr>
          <w:p>
            <w:pPr>
              <w:spacing w:before="40" w:after="40"/>
            </w:pPr>
            <w:r>
              <w:rPr>
                <w:b w:val="0"/>
                <w:i w:val="0"/>
                <w:sz w:val="17"/>
              </w:rPr>
              <w:t>R. Achterberg</w:t>
            </w:r>
          </w:p>
        </w:tc>
        <w:tc>
          <w:tcPr>
            <w:tcW w:type="dxa" w:w="3216"/>
          </w:tcPr>
          <w:p>
            <w:pPr>
              <w:spacing w:before="40" w:after="40"/>
            </w:pPr>
            <w:r>
              <w:rPr>
                <w:b w:val="0"/>
                <w:i w:val="0"/>
                <w:sz w:val="17"/>
              </w:rPr>
              <w:t>Release &amp; Environment Engineer</w:t>
            </w:r>
          </w:p>
        </w:tc>
      </w:tr>
      <w:tr>
        <w:tc>
          <w:tcPr>
            <w:tcW w:type="dxa" w:w="3216"/>
          </w:tcPr>
          <w:p>
            <w:pPr>
              <w:spacing w:before="40" w:after="40"/>
            </w:pPr>
            <w:r>
              <w:rPr>
                <w:b w:val="0"/>
                <w:i w:val="0"/>
                <w:sz w:val="17"/>
              </w:rPr>
              <w:t>Interface and downstream integration</w:t>
            </w:r>
          </w:p>
        </w:tc>
        <w:tc>
          <w:tcPr>
            <w:tcW w:type="dxa" w:w="3216"/>
          </w:tcPr>
          <w:p>
            <w:pPr>
              <w:spacing w:before="40" w:after="40"/>
            </w:pPr>
            <w:r>
              <w:rPr>
                <w:b w:val="0"/>
                <w:i w:val="0"/>
                <w:sz w:val="17"/>
              </w:rPr>
              <w:t>L. Navarrete</w:t>
            </w:r>
          </w:p>
        </w:tc>
        <w:tc>
          <w:tcPr>
            <w:tcW w:type="dxa" w:w="3216"/>
          </w:tcPr>
          <w:p>
            <w:pPr>
              <w:spacing w:before="40" w:after="40"/>
            </w:pPr>
            <w:r>
              <w:rPr>
                <w:b w:val="0"/>
                <w:i w:val="0"/>
                <w:sz w:val="17"/>
              </w:rPr>
              <w:t>Integration Engineer</w:t>
            </w:r>
          </w:p>
        </w:tc>
      </w:tr>
    </w:tbl>
    <w:p/>
    <w:p>
      <w:pPr>
        <w:spacing w:before="280" w:after="80"/>
      </w:pPr>
      <w:r>
        <w:rPr>
          <w:b/>
          <w:i w:val="0"/>
          <w:color w:val="14352A"/>
          <w:sz w:val="28"/>
        </w:rPr>
        <w:t>4. New Business Processing &amp; the Suitability Review Constraint</w:t>
      </w:r>
    </w:p>
    <w:p>
      <w:pPr>
        <w:spacing w:after="120"/>
      </w:pPr>
      <w:r>
        <w:rPr>
          <w:b w:val="0"/>
          <w:i w:val="0"/>
          <w:sz w:val="20"/>
        </w:rPr>
        <w:t>Every fixed indexed annuity sale is subject to suitability review under the NAIC Suitability in Annuity Transactions Model Regulation (#275) as adopted in each state. The reviewer must form a judgment that the recommendation was in the consumer's best interest given their financial situation, objectives and needs. This is a licensed judgment task. It cannot be batched, it cannot be meaningfully automated, and it cannot be deferred: an unreviewed application is an unissued policy.</w:t>
      </w:r>
    </w:p>
    <w:p>
      <w:pPr>
        <w:spacing w:before="200" w:after="80"/>
      </w:pPr>
      <w:r>
        <w:rPr>
          <w:b/>
          <w:i w:val="0"/>
          <w:color w:val="14352A"/>
          <w:sz w:val="24"/>
        </w:rPr>
        <w:t>4.1 The arithmetic nobody put in a business case</w:t>
      </w:r>
    </w:p>
    <w:p>
      <w:pPr>
        <w:spacing w:after="120"/>
      </w:pPr>
      <w:r>
        <w:rPr>
          <w:b w:val="0"/>
          <w:i w:val="0"/>
          <w:sz w:val="20"/>
        </w:rPr>
        <w:t xml:space="preserve">The Year One premium target is </w:t>
      </w:r>
      <w:r>
        <w:rPr>
          <w:b/>
          <w:i w:val="0"/>
          <w:sz w:val="20"/>
        </w:rPr>
        <w:t>$185,000,000</w:t>
      </w:r>
      <w:r>
        <w:rPr>
          <w:b w:val="0"/>
          <w:i w:val="0"/>
          <w:sz w:val="20"/>
        </w:rPr>
        <w:t xml:space="preserve"> at an average case size of </w:t>
      </w:r>
      <w:r>
        <w:rPr>
          <w:b/>
          <w:i w:val="0"/>
          <w:sz w:val="20"/>
        </w:rPr>
        <w:t>$118,000</w:t>
      </w:r>
      <w:r>
        <w:rPr>
          <w:b w:val="0"/>
          <w:i w:val="0"/>
          <w:sz w:val="20"/>
        </w:rPr>
        <w:t xml:space="preserve">, which implies roughly </w:t>
      </w:r>
      <w:r>
        <w:rPr>
          <w:b/>
          <w:i w:val="0"/>
          <w:sz w:val="20"/>
        </w:rPr>
        <w:t>1,568 policies</w:t>
      </w:r>
      <w:r>
        <w:rPr>
          <w:b w:val="0"/>
          <w:i w:val="0"/>
          <w:sz w:val="20"/>
        </w:rPr>
        <w:t xml:space="preserve"> — about </w:t>
      </w:r>
      <w:r>
        <w:rPr>
          <w:b/>
          <w:i w:val="0"/>
          <w:sz w:val="20"/>
        </w:rPr>
        <w:t>131 per month</w:t>
      </w:r>
      <w:r>
        <w:rPr>
          <w:b w:val="0"/>
          <w:i w:val="0"/>
          <w:sz w:val="20"/>
        </w:rPr>
        <w:t xml:space="preserve">, or on the order of </w:t>
      </w:r>
      <w:r>
        <w:rPr>
          <w:b/>
          <w:i w:val="0"/>
          <w:sz w:val="20"/>
        </w:rPr>
        <w:t>6 suitability reviews per working day</w:t>
      </w:r>
      <w:r>
        <w:rPr>
          <w:b w:val="0"/>
          <w:i w:val="0"/>
          <w:sz w:val="20"/>
        </w:rPr>
        <w:t xml:space="preserve"> at a steady rate.</w:t>
      </w:r>
    </w:p>
    <w:p>
      <w:pPr>
        <w:spacing w:after="120"/>
      </w:pPr>
      <w:r>
        <w:rPr>
          <w:b w:val="0"/>
          <w:i w:val="0"/>
          <w:sz w:val="20"/>
        </w:rPr>
        <w:t>The suitability rate above is a planning rate, not a locked figure: it assumes roughly 21 working days a month and an even arrival pattern, and annuity sales are not evenly distributed — they cluster at month end and quarter end. The peak is what matters, and the peak is higher than the average by a margin this program has not measured.</w:t>
      </w:r>
    </w:p>
    <w:p>
      <w:pPr>
        <w:spacing w:before="200" w:after="80"/>
      </w:pPr>
      <w:r>
        <w:rPr>
          <w:b/>
          <w:i w:val="0"/>
          <w:color w:val="14352A"/>
          <w:sz w:val="24"/>
        </w:rPr>
        <w:t>4.2 One analyst</w:t>
      </w:r>
    </w:p>
    <w:p>
      <w:pPr>
        <w:spacing w:after="120"/>
      </w:pPr>
      <w:r>
        <w:rPr>
          <w:b w:val="0"/>
          <w:i w:val="0"/>
          <w:sz w:val="20"/>
        </w:rPr>
        <w:t xml:space="preserve">The roster carries </w:t>
      </w:r>
      <w:r>
        <w:rPr>
          <w:b/>
          <w:i w:val="0"/>
          <w:sz w:val="20"/>
        </w:rPr>
        <w:t>one</w:t>
      </w:r>
      <w:r>
        <w:rPr>
          <w:b w:val="0"/>
          <w:i w:val="0"/>
          <w:sz w:val="20"/>
        </w:rPr>
        <w:t xml:space="preserve"> Suitability Review Analyst. That is a correct establishment for a program team and an obviously insufficient one for a product operating at the Year One target. The gap is not a criticism of the staffing decision — program teams are not operating teams — but it becomes a launch problem at the exact moment the program hands over, which is precisely when program staffing dissolves.</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This is the readiness item most likely to be discovered late.</w:t>
            </w:r>
            <w:r>
              <w:rPr>
                <w:b w:val="0"/>
                <w:i w:val="0"/>
                <w:sz w:val="20"/>
              </w:rPr>
              <w:t xml:space="preserve"> Suitability review capacity does not fail visibly. It degrades: the queue lengthens, turnaround slips from hours to days, producers notice before management does, and the first formal signal is a distribution complaint rather than an operational metric. By then the relationship damage with the four wholesalers carrying the whole field (I-06) is already done. </w:t>
            </w:r>
            <w:r>
              <w:rPr>
                <w:b/>
                <w:i w:val="0"/>
                <w:sz w:val="20"/>
              </w:rPr>
              <w:t>OR-3 is therefore written as a capacity confirmation with a named escalation path, not as a training sign-off.</w:t>
            </w:r>
          </w:p>
        </w:tc>
      </w:tr>
    </w:tbl>
    <w:p/>
    <w:p>
      <w:pPr>
        <w:spacing w:before="200" w:after="80"/>
      </w:pPr>
      <w:r>
        <w:rPr>
          <w:b/>
          <w:i w:val="0"/>
          <w:color w:val="14352A"/>
          <w:sz w:val="24"/>
        </w:rPr>
        <w:t>4.3 What closing OR-3 requires</w:t>
      </w:r>
    </w:p>
    <w:p>
      <w:pPr>
        <w:pStyle w:val="ListNumber"/>
        <w:spacing w:after="60"/>
      </w:pPr>
      <w:r>
        <w:rPr>
          <w:b w:val="0"/>
          <w:i w:val="0"/>
          <w:sz w:val="20"/>
        </w:rPr>
        <w:t>A documented peak-load assumption, not an average, with the month-end clustering stated.</w:t>
      </w:r>
    </w:p>
    <w:p>
      <w:pPr>
        <w:pStyle w:val="ListNumber"/>
        <w:spacing w:after="60"/>
      </w:pPr>
      <w:r>
        <w:rPr>
          <w:b w:val="0"/>
          <w:i w:val="0"/>
          <w:sz w:val="20"/>
        </w:rPr>
        <w:t>At least two additional staff trained and assessed to perform suitability review, drawn from existing licensed personnel, and named.</w:t>
      </w:r>
    </w:p>
    <w:p>
      <w:pPr>
        <w:pStyle w:val="ListNumber"/>
        <w:spacing w:after="60"/>
      </w:pPr>
      <w:r>
        <w:rPr>
          <w:b w:val="0"/>
          <w:i w:val="0"/>
          <w:sz w:val="20"/>
        </w:rPr>
        <w:t>A queue-depth measure visible daily from day one, with the T2 trigger in §3.1 attached to it.</w:t>
      </w:r>
    </w:p>
    <w:p>
      <w:pPr>
        <w:pStyle w:val="ListNumber"/>
        <w:spacing w:after="60"/>
      </w:pPr>
      <w:r>
        <w:rPr>
          <w:b w:val="0"/>
          <w:i w:val="0"/>
          <w:sz w:val="20"/>
        </w:rPr>
        <w:t>An agreed turnaround standard published to Distribution, so that degradation is a breach of a stated commitment rather than a matter of opinion.</w:t>
      </w:r>
    </w:p>
    <w:p>
      <w:pPr>
        <w:pStyle w:val="ListNumber"/>
        <w:spacing w:after="60"/>
      </w:pPr>
      <w:r>
        <w:rPr>
          <w:b w:val="0"/>
          <w:i w:val="0"/>
          <w:sz w:val="20"/>
        </w:rPr>
        <w:t>Written confirmation of who performs review if the named analyst is unavailable for a week.</w:t>
      </w:r>
    </w:p>
    <w:p>
      <w:pPr>
        <w:spacing w:before="280" w:after="80"/>
      </w:pPr>
      <w:r>
        <w:rPr>
          <w:b/>
          <w:i w:val="0"/>
          <w:color w:val="14352A"/>
          <w:sz w:val="28"/>
        </w:rPr>
        <w:t>5. Policyholder Services, Correspondence &amp; the Free-Look Window</w:t>
      </w:r>
    </w:p>
    <w:p>
      <w:pPr>
        <w:spacing w:after="120"/>
      </w:pPr>
      <w:r>
        <w:rPr>
          <w:b w:val="0"/>
          <w:i w:val="0"/>
          <w:sz w:val="20"/>
        </w:rPr>
        <w:t>Policyholder services carries lower novelty than new business but higher consequence for error, because its output is a document a policyholder keeps. Confirmation statements, contract assembly and free-look disclosure are state-variable and must reflect the filed forms exactly.</w:t>
      </w:r>
    </w:p>
    <w:p>
      <w:pPr>
        <w:spacing w:before="200" w:after="80"/>
      </w:pPr>
      <w:r>
        <w:rPr>
          <w:b/>
          <w:i w:val="0"/>
          <w:color w:val="14352A"/>
          <w:sz w:val="24"/>
        </w:rPr>
        <w:t>5.1 The free-look period is the only rollback the company does not control</w:t>
      </w:r>
    </w:p>
    <w:p>
      <w:pPr>
        <w:spacing w:after="120"/>
      </w:pPr>
      <w:r>
        <w:rPr>
          <w:b w:val="0"/>
          <w:i w:val="0"/>
          <w:sz w:val="20"/>
        </w:rPr>
        <w:t xml:space="preserve">Every state mandates a free-look period during which a purchaser may rescind the contract and receive a return of premium, with the length and the return basis set by state law and the filed form. It is worth stating plainly what this means against §1: </w:t>
      </w:r>
      <w:r>
        <w:rPr>
          <w:b/>
          <w:i w:val="0"/>
          <w:sz w:val="20"/>
        </w:rPr>
        <w:t>after the point of no return, the only remaining reversal belongs to the customer, not to the company.</w:t>
      </w:r>
    </w:p>
    <w:p>
      <w:pPr>
        <w:spacing w:after="120"/>
      </w:pPr>
      <w:r>
        <w:rPr>
          <w:b w:val="0"/>
          <w:i w:val="0"/>
          <w:sz w:val="20"/>
        </w:rPr>
        <w:t>Operationally this creates three obligations that are easy to under-prepare because they arrive weeks after the excitement of launch:</w:t>
      </w:r>
    </w:p>
    <w:p>
      <w:pPr>
        <w:pStyle w:val="ListBullet"/>
        <w:spacing w:after="60"/>
      </w:pPr>
      <w:r>
        <w:rPr>
          <w:b/>
          <w:i w:val="0"/>
          <w:sz w:val="20"/>
        </w:rPr>
        <w:t>Free-look disclosure must be correct on the contract as issued</w:t>
      </w:r>
      <w:r>
        <w:rPr>
          <w:b w:val="0"/>
          <w:i w:val="0"/>
          <w:sz w:val="20"/>
        </w:rPr>
        <w:t xml:space="preserve"> — it cannot be corrected by later communication without creating a second problem.</w:t>
      </w:r>
    </w:p>
    <w:p>
      <w:pPr>
        <w:pStyle w:val="ListBullet"/>
        <w:spacing w:after="60"/>
      </w:pPr>
      <w:r>
        <w:rPr>
          <w:b/>
          <w:i w:val="0"/>
          <w:sz w:val="20"/>
        </w:rPr>
        <w:t>Rescission must be processable on day one of a request</w:t>
      </w:r>
      <w:r>
        <w:rPr>
          <w:b w:val="0"/>
          <w:i w:val="0"/>
          <w:sz w:val="20"/>
        </w:rPr>
        <w:t>, including premium return within the timing the form specifies. A rescission handled slowly is a regulatory matter, not a service matter.</w:t>
      </w:r>
    </w:p>
    <w:p>
      <w:pPr>
        <w:pStyle w:val="ListBullet"/>
        <w:spacing w:after="60"/>
      </w:pPr>
      <w:r>
        <w:rPr>
          <w:b/>
          <w:i w:val="0"/>
          <w:sz w:val="20"/>
        </w:rPr>
        <w:t>Rescission volume is a leading indicator of a suitability problem</w:t>
      </w:r>
      <w:r>
        <w:rPr>
          <w:b w:val="0"/>
          <w:i w:val="0"/>
          <w:sz w:val="20"/>
        </w:rPr>
        <w:t>, not just a service statistic. Elevated early free-look returns concentrated with particular producers is the earliest evidence that something in the sales process is wrong, and it should be reported to Distribution and Compliance jointly rather than sitting in an operations report.</w:t>
      </w:r>
    </w:p>
    <w:p>
      <w:pPr>
        <w:spacing w:after="120"/>
      </w:pPr>
      <w:r>
        <w:rPr>
          <w:b w:val="0"/>
          <w:i w:val="0"/>
          <w:sz w:val="20"/>
        </w:rPr>
        <w:t>OR-9 covers this and is written to require a proven end-to-end rescission, including the money movement, rather than a procedure document describing one.</w:t>
      </w:r>
    </w:p>
    <w:p>
      <w:pPr>
        <w:spacing w:before="200" w:after="80"/>
      </w:pPr>
      <w:r>
        <w:rPr>
          <w:b/>
          <w:i w:val="0"/>
          <w:color w:val="14352A"/>
          <w:sz w:val="24"/>
        </w:rPr>
        <w:t>5.2 First index crediting cycle</w:t>
      </w:r>
    </w:p>
    <w:p>
      <w:pPr>
        <w:spacing w:after="120"/>
      </w:pPr>
      <w:r>
        <w:rPr>
          <w:b w:val="0"/>
          <w:i w:val="0"/>
          <w:sz w:val="20"/>
        </w:rPr>
        <w:t>The first crediting cycle falls a full contract year after the earliest issues, which places it outside the hypercare period and outside most people's attention. It is nonetheless the first moment the product's defining mechanic is exercised in production against real policyholder money. OR-7 requires the reconciliation and control set to be proven before launch, on the reasoning that a control designed a year after go-live is a control designed by whoever is left.</w:t>
      </w:r>
    </w:p>
    <w:p>
      <w:pPr>
        <w:spacing w:before="280" w:after="80"/>
      </w:pPr>
      <w:r>
        <w:rPr>
          <w:b/>
          <w:i w:val="0"/>
          <w:color w:val="14352A"/>
          <w:sz w:val="28"/>
        </w:rPr>
        <w:t>6. Platform Cutover — Sequence, Environments &amp; Data</w:t>
      </w:r>
    </w:p>
    <w:p>
      <w:pPr>
        <w:spacing w:after="120"/>
      </w:pPr>
      <w:r>
        <w:rPr>
          <w:b w:val="0"/>
          <w:i w:val="0"/>
          <w:sz w:val="20"/>
        </w:rPr>
        <w:t>Cutover is executed by the 10-person platform team under V. Sandoval, with release and environment control held by R. Achterberg. The sequence below runs backward from launch, so that a change to the launch date moves every anchor rather than leaving the plan quietly out of step.</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Point</w:t>
            </w:r>
          </w:p>
        </w:tc>
        <w:tc>
          <w:tcPr>
            <w:tcW w:type="dxa" w:w="4824"/>
            <w:shd w:val="clear" w:fill="14352A"/>
          </w:tcPr>
          <w:p>
            <w:pPr>
              <w:spacing w:before="40" w:after="40"/>
            </w:pPr>
            <w:r>
              <w:rPr>
                <w:b/>
                <w:i w:val="0"/>
                <w:color w:val="FFFFFF"/>
                <w:sz w:val="17"/>
              </w:rPr>
              <w:t>Activity and intent</w:t>
            </w:r>
          </w:p>
        </w:tc>
      </w:tr>
      <w:tr>
        <w:tc>
          <w:tcPr>
            <w:tcW w:type="dxa" w:w="4824"/>
          </w:tcPr>
          <w:p>
            <w:pPr>
              <w:spacing w:before="40" w:after="40"/>
            </w:pPr>
            <w:r>
              <w:rPr>
                <w:b/>
                <w:i w:val="0"/>
                <w:sz w:val="17"/>
              </w:rPr>
              <w:t>T-90</w:t>
            </w:r>
            <w:r>
              <w:rPr>
                <w:sz w:val="17"/>
              </w:rPr>
              <w:br/>
            </w:r>
            <w:r>
              <w:rPr>
                <w:b w:val="0"/>
                <w:i w:val="0"/>
                <w:sz w:val="17"/>
              </w:rPr>
              <w:t>07 Dec 2027</w:t>
            </w:r>
          </w:p>
        </w:tc>
        <w:tc>
          <w:tcPr>
            <w:tcW w:type="dxa" w:w="4824"/>
          </w:tcPr>
          <w:p>
            <w:pPr>
              <w:spacing w:before="40" w:after="40"/>
            </w:pPr>
            <w:r>
              <w:rPr>
                <w:b/>
                <w:i w:val="0"/>
                <w:sz w:val="17"/>
              </w:rPr>
              <w:t>Operational readiness baseline frozen</w:t>
            </w:r>
            <w:r>
              <w:rPr>
                <w:sz w:val="17"/>
              </w:rPr>
              <w:br/>
            </w:r>
            <w:r>
              <w:rPr>
                <w:b w:val="0"/>
                <w:i w:val="0"/>
                <w:sz w:val="17"/>
              </w:rPr>
              <w:t>Procedures, training curriculum and the day-one operating model are complete in draft. Anything not written by this point will not be trained by launch.</w:t>
            </w:r>
          </w:p>
        </w:tc>
      </w:tr>
      <w:tr>
        <w:tc>
          <w:tcPr>
            <w:tcW w:type="dxa" w:w="4824"/>
          </w:tcPr>
          <w:p>
            <w:pPr>
              <w:spacing w:before="40" w:after="40"/>
            </w:pPr>
            <w:r>
              <w:rPr>
                <w:b/>
                <w:i w:val="0"/>
                <w:sz w:val="17"/>
              </w:rPr>
              <w:t>T-45</w:t>
            </w:r>
            <w:r>
              <w:rPr>
                <w:sz w:val="17"/>
              </w:rPr>
              <w:br/>
            </w:r>
            <w:r>
              <w:rPr>
                <w:b w:val="0"/>
                <w:i w:val="0"/>
                <w:sz w:val="17"/>
              </w:rPr>
              <w:t>21 Jan 2028</w:t>
            </w:r>
          </w:p>
        </w:tc>
        <w:tc>
          <w:tcPr>
            <w:tcW w:type="dxa" w:w="4824"/>
          </w:tcPr>
          <w:p>
            <w:pPr>
              <w:spacing w:before="40" w:after="40"/>
            </w:pPr>
            <w:r>
              <w:rPr>
                <w:b/>
                <w:i w:val="0"/>
                <w:sz w:val="17"/>
              </w:rPr>
              <w:t>Operations dress rehearsal #1</w:t>
            </w:r>
            <w:r>
              <w:rPr>
                <w:sz w:val="17"/>
              </w:rPr>
              <w:br/>
            </w:r>
            <w:r>
              <w:rPr>
                <w:b w:val="0"/>
                <w:i w:val="0"/>
                <w:sz w:val="17"/>
              </w:rPr>
              <w:t>End-to-end: application intake, suitability review, issue, funding, confirmation. Run against the release candidate in a production-like environment with real staff, not a script.</w:t>
            </w:r>
          </w:p>
        </w:tc>
      </w:tr>
      <w:tr>
        <w:tc>
          <w:tcPr>
            <w:tcW w:type="dxa" w:w="4824"/>
          </w:tcPr>
          <w:p>
            <w:pPr>
              <w:spacing w:before="40" w:after="40"/>
            </w:pPr>
            <w:r>
              <w:rPr>
                <w:b/>
                <w:i w:val="0"/>
                <w:sz w:val="17"/>
              </w:rPr>
              <w:t>T-21</w:t>
            </w:r>
            <w:r>
              <w:rPr>
                <w:sz w:val="17"/>
              </w:rPr>
              <w:br/>
            </w:r>
            <w:r>
              <w:rPr>
                <w:b w:val="0"/>
                <w:i w:val="0"/>
                <w:sz w:val="17"/>
              </w:rPr>
              <w:t>14 Feb 2028</w:t>
            </w:r>
          </w:p>
        </w:tc>
        <w:tc>
          <w:tcPr>
            <w:tcW w:type="dxa" w:w="4824"/>
          </w:tcPr>
          <w:p>
            <w:pPr>
              <w:spacing w:before="40" w:after="40"/>
            </w:pPr>
            <w:r>
              <w:rPr>
                <w:b/>
                <w:i w:val="0"/>
                <w:sz w:val="17"/>
              </w:rPr>
              <w:t>Operations dress rehearsal #2 — exception paths</w:t>
            </w:r>
            <w:r>
              <w:rPr>
                <w:sz w:val="17"/>
              </w:rPr>
              <w:br/>
            </w:r>
            <w:r>
              <w:rPr>
                <w:b w:val="0"/>
                <w:i w:val="0"/>
                <w:sz w:val="17"/>
              </w:rPr>
              <w:t>Deliberately fails the happy path. Rejected suitability, incomplete application, wrong premium, free-look rescission, and every Severity-2 workaround accepted to date.</w:t>
            </w:r>
          </w:p>
        </w:tc>
      </w:tr>
      <w:tr>
        <w:tc>
          <w:tcPr>
            <w:tcW w:type="dxa" w:w="4824"/>
          </w:tcPr>
          <w:p>
            <w:pPr>
              <w:spacing w:before="40" w:after="40"/>
            </w:pPr>
            <w:r>
              <w:rPr>
                <w:b/>
                <w:i w:val="0"/>
                <w:sz w:val="17"/>
              </w:rPr>
              <w:t>T-11</w:t>
            </w:r>
            <w:r>
              <w:rPr>
                <w:sz w:val="17"/>
              </w:rPr>
              <w:br/>
            </w:r>
            <w:r>
              <w:rPr>
                <w:b w:val="0"/>
                <w:i w:val="0"/>
                <w:sz w:val="17"/>
              </w:rPr>
              <w:t>24 Feb 2028</w:t>
            </w:r>
          </w:p>
        </w:tc>
        <w:tc>
          <w:tcPr>
            <w:tcW w:type="dxa" w:w="4824"/>
          </w:tcPr>
          <w:p>
            <w:pPr>
              <w:spacing w:before="40" w:after="40"/>
            </w:pPr>
            <w:r>
              <w:rPr>
                <w:b/>
                <w:i w:val="0"/>
                <w:sz w:val="17"/>
              </w:rPr>
              <w:t>Gate 4 — Launch Readiness decision</w:t>
            </w:r>
            <w:r>
              <w:rPr>
                <w:sz w:val="17"/>
              </w:rPr>
              <w:br/>
            </w:r>
            <w:r>
              <w:rPr>
                <w:b w:val="0"/>
                <w:i w:val="0"/>
                <w:sz w:val="17"/>
              </w:rPr>
              <w:t>The gate that releases Stage 4 funding ($4,330,000), including the vendor hypercare package. 11 days before launch.</w:t>
            </w:r>
          </w:p>
        </w:tc>
      </w:tr>
      <w:tr>
        <w:tc>
          <w:tcPr>
            <w:tcW w:type="dxa" w:w="4824"/>
          </w:tcPr>
          <w:p>
            <w:pPr>
              <w:spacing w:before="40" w:after="40"/>
            </w:pPr>
            <w:r>
              <w:rPr>
                <w:b/>
                <w:i w:val="0"/>
                <w:sz w:val="17"/>
              </w:rPr>
              <w:t>T-4</w:t>
            </w:r>
            <w:r>
              <w:rPr>
                <w:sz w:val="17"/>
              </w:rPr>
              <w:br/>
            </w:r>
            <w:r>
              <w:rPr>
                <w:b w:val="0"/>
                <w:i w:val="0"/>
                <w:sz w:val="17"/>
              </w:rPr>
              <w:t>02 Mar 2028</w:t>
            </w:r>
          </w:p>
        </w:tc>
        <w:tc>
          <w:tcPr>
            <w:tcW w:type="dxa" w:w="4824"/>
          </w:tcPr>
          <w:p>
            <w:pPr>
              <w:spacing w:before="40" w:after="40"/>
            </w:pPr>
            <w:r>
              <w:rPr>
                <w:b/>
                <w:i w:val="0"/>
                <w:sz w:val="17"/>
              </w:rPr>
              <w:t>Production cutover window opens</w:t>
            </w:r>
            <w:r>
              <w:rPr>
                <w:sz w:val="17"/>
              </w:rPr>
              <w:br/>
            </w:r>
            <w:r>
              <w:rPr>
                <w:b w:val="0"/>
                <w:i w:val="0"/>
                <w:sz w:val="17"/>
              </w:rPr>
              <w:t>Configuration promoted, interfaces enabled, rate tables loaded and independently verified against the filed methodology. Still fully reversible at this point.</w:t>
            </w:r>
          </w:p>
        </w:tc>
      </w:tr>
      <w:tr>
        <w:tc>
          <w:tcPr>
            <w:tcW w:type="dxa" w:w="4824"/>
          </w:tcPr>
          <w:p>
            <w:pPr>
              <w:spacing w:before="40" w:after="40"/>
            </w:pPr>
            <w:r>
              <w:rPr>
                <w:b/>
                <w:i w:val="0"/>
                <w:sz w:val="17"/>
              </w:rPr>
              <w:t>T-1</w:t>
            </w:r>
            <w:r>
              <w:rPr>
                <w:sz w:val="17"/>
              </w:rPr>
              <w:br/>
            </w:r>
            <w:r>
              <w:rPr>
                <w:b w:val="0"/>
                <w:i w:val="0"/>
                <w:sz w:val="17"/>
              </w:rPr>
              <w:t>05 Mar 2028</w:t>
            </w:r>
          </w:p>
        </w:tc>
        <w:tc>
          <w:tcPr>
            <w:tcW w:type="dxa" w:w="4824"/>
          </w:tcPr>
          <w:p>
            <w:pPr>
              <w:spacing w:before="40" w:after="40"/>
            </w:pPr>
            <w:r>
              <w:rPr>
                <w:b/>
                <w:i w:val="0"/>
                <w:sz w:val="17"/>
              </w:rPr>
              <w:t>Go / no-go call and final reversibility check</w:t>
            </w:r>
            <w:r>
              <w:rPr>
                <w:sz w:val="17"/>
              </w:rPr>
              <w:br/>
            </w:r>
            <w:r>
              <w:rPr>
                <w:b w:val="0"/>
                <w:i w:val="0"/>
                <w:sz w:val="17"/>
              </w:rPr>
              <w:t>The last moment at which backing out costs nothing but embarrassment. Named decider, pre-committed criteria, documented answer.</w:t>
            </w:r>
          </w:p>
        </w:tc>
      </w:tr>
      <w:tr>
        <w:tc>
          <w:tcPr>
            <w:tcW w:type="dxa" w:w="4824"/>
          </w:tcPr>
          <w:p>
            <w:pPr>
              <w:spacing w:before="40" w:after="40"/>
            </w:pPr>
            <w:r>
              <w:rPr>
                <w:b/>
                <w:i w:val="0"/>
                <w:sz w:val="17"/>
              </w:rPr>
              <w:t>T-0</w:t>
            </w:r>
            <w:r>
              <w:rPr>
                <w:sz w:val="17"/>
              </w:rPr>
              <w:br/>
            </w:r>
            <w:r>
              <w:rPr>
                <w:b w:val="0"/>
                <w:i w:val="0"/>
                <w:sz w:val="17"/>
              </w:rPr>
              <w:t>06 Mar 2028</w:t>
            </w:r>
          </w:p>
        </w:tc>
        <w:tc>
          <w:tcPr>
            <w:tcW w:type="dxa" w:w="4824"/>
          </w:tcPr>
          <w:p>
            <w:pPr>
              <w:spacing w:before="40" w:after="40"/>
            </w:pPr>
            <w:r>
              <w:rPr>
                <w:b/>
                <w:i w:val="0"/>
                <w:sz w:val="17"/>
              </w:rPr>
              <w:t>Launch — new business opens</w:t>
            </w:r>
            <w:r>
              <w:rPr>
                <w:sz w:val="17"/>
              </w:rPr>
              <w:br/>
            </w:r>
            <w:r>
              <w:rPr>
                <w:b w:val="0"/>
                <w:i w:val="0"/>
                <w:sz w:val="17"/>
              </w:rPr>
              <w:t>Product available for sale. Reversible until the first application is accepted.</w:t>
            </w:r>
          </w:p>
        </w:tc>
      </w:tr>
      <w:tr>
        <w:tc>
          <w:tcPr>
            <w:tcW w:type="dxa" w:w="4824"/>
          </w:tcPr>
          <w:p>
            <w:pPr>
              <w:spacing w:before="40" w:after="40"/>
            </w:pPr>
            <w:r>
              <w:rPr>
                <w:b/>
                <w:i w:val="0"/>
                <w:sz w:val="17"/>
              </w:rPr>
              <w:t>PONR</w:t>
            </w:r>
            <w:r>
              <w:rPr>
                <w:sz w:val="17"/>
              </w:rPr>
              <w:br/>
            </w:r>
            <w:r>
              <w:rPr>
                <w:b w:val="0"/>
                <w:i w:val="0"/>
                <w:sz w:val="17"/>
              </w:rPr>
              <w:t>event-driven</w:t>
            </w:r>
          </w:p>
        </w:tc>
        <w:tc>
          <w:tcPr>
            <w:tcW w:type="dxa" w:w="4824"/>
          </w:tcPr>
          <w:p>
            <w:pPr>
              <w:spacing w:before="40" w:after="40"/>
            </w:pPr>
            <w:r>
              <w:rPr>
                <w:b/>
                <w:i w:val="0"/>
                <w:sz w:val="17"/>
              </w:rPr>
              <w:t>First policy issued — point of no return</w:t>
            </w:r>
            <w:r>
              <w:rPr>
                <w:sz w:val="17"/>
              </w:rPr>
              <w:br/>
            </w:r>
            <w:r>
              <w:rPr>
                <w:b w:val="0"/>
                <w:i w:val="0"/>
                <w:sz w:val="17"/>
              </w:rPr>
              <w:t>An in-force contract exists. From here the plan is a forward-only plan; see §7.</w:t>
            </w:r>
          </w:p>
        </w:tc>
      </w:tr>
    </w:tbl>
    <w:p/>
    <w:p>
      <w:pPr>
        <w:spacing w:before="200" w:after="80"/>
      </w:pPr>
      <w:r>
        <w:rPr>
          <w:b/>
          <w:i w:val="0"/>
          <w:color w:val="14352A"/>
          <w:sz w:val="24"/>
        </w:rPr>
        <w:t>6.1 Rate table verification is a compliance step wearing an IT step's clothing</w:t>
      </w:r>
    </w:p>
    <w:p>
      <w:pPr>
        <w:spacing w:after="120"/>
      </w:pPr>
      <w:r>
        <w:rPr>
          <w:b w:val="0"/>
          <w:i w:val="0"/>
          <w:sz w:val="20"/>
        </w:rPr>
        <w:t xml:space="preserve">Loading rate tables looks like configuration. It is not: the values loaded must reconcile to the </w:t>
      </w:r>
      <w:r>
        <w:rPr>
          <w:b w:val="0"/>
          <w:i/>
          <w:sz w:val="20"/>
        </w:rPr>
        <w:t>filed</w:t>
      </w:r>
      <w:r>
        <w:rPr>
          <w:b w:val="0"/>
          <w:i w:val="0"/>
          <w:sz w:val="20"/>
        </w:rPr>
        <w:t xml:space="preserve"> methodology, and where the configuration and the filing disagree, the filing governs. This is the same rule the Master Test &amp; Validation Strategy applies to illustration validation, and it has the same consequence — a mismatch discovered at cutover cannot be resolved by changing the system, because the system is not the authority. Verification at T-4 is therefore performed against the filing, by a second person, with the result recorded.</w:t>
      </w:r>
    </w:p>
    <w:p>
      <w:pPr>
        <w:spacing w:before="200" w:after="80"/>
      </w:pPr>
      <w:r>
        <w:rPr>
          <w:b/>
          <w:i w:val="0"/>
          <w:color w:val="14352A"/>
          <w:sz w:val="24"/>
        </w:rPr>
        <w:t>6.2 Environments and the dress rehearsal standard</w:t>
      </w:r>
    </w:p>
    <w:p>
      <w:pPr>
        <w:spacing w:after="120"/>
      </w:pPr>
      <w:r>
        <w:rPr>
          <w:b w:val="0"/>
          <w:i w:val="0"/>
          <w:sz w:val="20"/>
        </w:rPr>
        <w:t>Both operational dress rehearsals (T-45 and T-21) run against the release candidate in a production-like environment, staffed by the people who will actually do the work. The second is deliberately structured around failure: rejected suitability, incomplete applications, mismatched premium, free-look rescission, and every Severity-2 workaround accepted to date (§9.2). A rehearsal that only exercises the happy path proves the least interesting third of the operation.</w:t>
      </w:r>
    </w:p>
    <w:p>
      <w:pPr>
        <w:spacing w:before="280" w:after="80"/>
      </w:pPr>
      <w:r>
        <w:rPr>
          <w:b/>
          <w:i w:val="0"/>
          <w:color w:val="14352A"/>
          <w:sz w:val="28"/>
        </w:rPr>
        <w:t>7. The Rollback Question, and When It Expires</w:t>
      </w:r>
    </w:p>
    <w:p>
      <w:pPr>
        <w:spacing w:after="120"/>
      </w:pPr>
      <w:r>
        <w:rPr>
          <w:b w:val="0"/>
          <w:i w:val="0"/>
          <w:sz w:val="20"/>
        </w:rPr>
        <w:t>Most cutover plans contain a rollback section that describes how to restore the previous state. This one contains a rollback section that describes how long that option exists.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Window</w:t>
            </w:r>
          </w:p>
        </w:tc>
        <w:tc>
          <w:tcPr>
            <w:tcW w:type="dxa" w:w="3216"/>
            <w:shd w:val="clear" w:fill="14352A"/>
          </w:tcPr>
          <w:p>
            <w:pPr>
              <w:spacing w:before="40" w:after="40"/>
            </w:pPr>
            <w:r>
              <w:rPr>
                <w:b/>
                <w:i w:val="0"/>
                <w:color w:val="FFFFFF"/>
                <w:sz w:val="17"/>
              </w:rPr>
              <w:t>Rollback available?</w:t>
            </w:r>
          </w:p>
        </w:tc>
        <w:tc>
          <w:tcPr>
            <w:tcW w:type="dxa" w:w="3216"/>
            <w:shd w:val="clear" w:fill="14352A"/>
          </w:tcPr>
          <w:p>
            <w:pPr>
              <w:spacing w:before="40" w:after="40"/>
            </w:pPr>
            <w:r>
              <w:rPr>
                <w:b/>
                <w:i w:val="0"/>
                <w:color w:val="FFFFFF"/>
                <w:sz w:val="17"/>
              </w:rPr>
              <w:t>Mechanism</w:t>
            </w:r>
          </w:p>
        </w:tc>
      </w:tr>
      <w:tr>
        <w:tc>
          <w:tcPr>
            <w:tcW w:type="dxa" w:w="3216"/>
          </w:tcPr>
          <w:p>
            <w:pPr>
              <w:spacing w:before="40" w:after="40"/>
            </w:pPr>
            <w:r>
              <w:rPr>
                <w:b w:val="0"/>
                <w:i w:val="0"/>
                <w:sz w:val="17"/>
              </w:rPr>
              <w:t>T-4 to T-1</w:t>
            </w:r>
          </w:p>
        </w:tc>
        <w:tc>
          <w:tcPr>
            <w:tcW w:type="dxa" w:w="3216"/>
          </w:tcPr>
          <w:p>
            <w:pPr>
              <w:spacing w:before="40" w:after="40"/>
            </w:pPr>
            <w:r>
              <w:rPr>
                <w:b w:val="0"/>
                <w:i w:val="0"/>
                <w:sz w:val="17"/>
              </w:rPr>
              <w:t>Yes — complete</w:t>
            </w:r>
          </w:p>
        </w:tc>
        <w:tc>
          <w:tcPr>
            <w:tcW w:type="dxa" w:w="3216"/>
          </w:tcPr>
          <w:p>
            <w:pPr>
              <w:spacing w:before="40" w:after="40"/>
            </w:pPr>
            <w:r>
              <w:rPr>
                <w:b w:val="0"/>
                <w:i w:val="0"/>
                <w:sz w:val="17"/>
              </w:rPr>
              <w:t>Revert configuration, disable interfaces, restore prior release. No external party affected.</w:t>
            </w:r>
          </w:p>
        </w:tc>
      </w:tr>
      <w:tr>
        <w:tc>
          <w:tcPr>
            <w:tcW w:type="dxa" w:w="3216"/>
          </w:tcPr>
          <w:p>
            <w:pPr>
              <w:spacing w:before="40" w:after="40"/>
            </w:pPr>
            <w:r>
              <w:rPr>
                <w:b w:val="0"/>
                <w:i w:val="0"/>
                <w:sz w:val="17"/>
              </w:rPr>
              <w:t>T-0 to first application accepted</w:t>
            </w:r>
          </w:p>
        </w:tc>
        <w:tc>
          <w:tcPr>
            <w:tcW w:type="dxa" w:w="3216"/>
          </w:tcPr>
          <w:p>
            <w:pPr>
              <w:spacing w:before="40" w:after="40"/>
            </w:pPr>
            <w:r>
              <w:rPr>
                <w:b w:val="0"/>
                <w:i w:val="0"/>
                <w:sz w:val="17"/>
              </w:rPr>
              <w:t>Yes — costly</w:t>
            </w:r>
          </w:p>
        </w:tc>
        <w:tc>
          <w:tcPr>
            <w:tcW w:type="dxa" w:w="3216"/>
          </w:tcPr>
          <w:p>
            <w:pPr>
              <w:spacing w:before="40" w:after="40"/>
            </w:pPr>
            <w:r>
              <w:rPr>
                <w:b w:val="0"/>
                <w:i w:val="0"/>
                <w:sz w:val="17"/>
              </w:rPr>
              <w:t>Close new business, withdraw sales authorization, notify distribution. Reputational cost with producers, no policyholder impact.</w:t>
            </w:r>
          </w:p>
        </w:tc>
      </w:tr>
      <w:tr>
        <w:tc>
          <w:tcPr>
            <w:tcW w:type="dxa" w:w="3216"/>
          </w:tcPr>
          <w:p>
            <w:pPr>
              <w:spacing w:before="40" w:after="40"/>
            </w:pPr>
            <w:r>
              <w:rPr>
                <w:b w:val="0"/>
                <w:i w:val="0"/>
                <w:sz w:val="17"/>
              </w:rPr>
              <w:t>After first policy issued</w:t>
            </w:r>
          </w:p>
        </w:tc>
        <w:tc>
          <w:tcPr>
            <w:tcW w:type="dxa" w:w="3216"/>
          </w:tcPr>
          <w:p>
            <w:pPr>
              <w:spacing w:before="40" w:after="40"/>
            </w:pPr>
            <w:r>
              <w:rPr>
                <w:b w:val="0"/>
                <w:i w:val="0"/>
                <w:sz w:val="17"/>
              </w:rPr>
              <w:t>No</w:t>
            </w:r>
          </w:p>
        </w:tc>
        <w:tc>
          <w:tcPr>
            <w:tcW w:type="dxa" w:w="3216"/>
          </w:tcPr>
          <w:p>
            <w:pPr>
              <w:spacing w:before="40" w:after="40"/>
            </w:pPr>
            <w:r>
              <w:rPr>
                <w:b w:val="0"/>
                <w:i w:val="0"/>
                <w:sz w:val="17"/>
              </w:rPr>
              <w:t>Forward-only. Remediate in production. Any contract already issued stands.</w:t>
            </w:r>
          </w:p>
        </w:tc>
      </w:tr>
    </w:tbl>
    <w:p/>
    <w:p>
      <w:pPr>
        <w:spacing w:before="200" w:after="80"/>
      </w:pPr>
      <w:r>
        <w:rPr>
          <w:b/>
          <w:i w:val="0"/>
          <w:color w:val="14352A"/>
          <w:sz w:val="24"/>
        </w:rPr>
        <w:t>7.1 What the program does about a boundary it cannot schedule</w:t>
      </w:r>
    </w:p>
    <w:p>
      <w:pPr>
        <w:spacing w:after="120"/>
      </w:pPr>
      <w:r>
        <w:rPr>
          <w:b w:val="0"/>
          <w:i w:val="0"/>
          <w:sz w:val="20"/>
        </w:rPr>
        <w:t>Because first issue is an event rather than a date, the plan cannot place the point of no return on a calendar. It can do three things instead, and does:</w:t>
      </w:r>
    </w:p>
    <w:p>
      <w:pPr>
        <w:pStyle w:val="ListNumber"/>
        <w:spacing w:after="60"/>
      </w:pPr>
      <w:r>
        <w:rPr>
          <w:b/>
          <w:i w:val="0"/>
          <w:sz w:val="20"/>
        </w:rPr>
        <w:t>Make the boundary visible in real time.</w:t>
      </w:r>
      <w:r>
        <w:rPr>
          <w:b w:val="0"/>
          <w:i w:val="0"/>
          <w:sz w:val="20"/>
        </w:rPr>
        <w:t xml:space="preserve"> The first issued policy is reported immediately to the launch decision-maker and the program manager — not in a daily summary. Everyone should know the hour at which the option to stop ended.</w:t>
      </w:r>
    </w:p>
    <w:p>
      <w:pPr>
        <w:pStyle w:val="ListNumber"/>
        <w:spacing w:after="60"/>
      </w:pPr>
      <w:r>
        <w:rPr>
          <w:b/>
          <w:i w:val="0"/>
          <w:sz w:val="20"/>
        </w:rPr>
        <w:t>Hold the highest-consequence checks before T-0, not after.</w:t>
      </w:r>
      <w:r>
        <w:rPr>
          <w:b w:val="0"/>
          <w:i w:val="0"/>
          <w:sz w:val="20"/>
        </w:rPr>
        <w:t xml:space="preserve"> Any verification whose failure would justify stopping must complete before new business opens, because the window in which stopping is cheap may be very short. Rate table verification, form correctness and the hedging confirmation in §10 are all pre-T-0 by design.</w:t>
      </w:r>
    </w:p>
    <w:p>
      <w:pPr>
        <w:pStyle w:val="ListNumber"/>
        <w:spacing w:after="60"/>
      </w:pPr>
      <w:r>
        <w:rPr>
          <w:b/>
          <w:i w:val="0"/>
          <w:sz w:val="20"/>
        </w:rPr>
        <w:t>Pre-decide the forward-only response.</w:t>
      </w:r>
      <w:r>
        <w:rPr>
          <w:b w:val="0"/>
          <w:i w:val="0"/>
          <w:sz w:val="20"/>
        </w:rPr>
        <w:t xml:space="preserve"> §7.2 sets out what happens if a material defect is found after first issue, so that the decision is made now rather than under pressure by people who will be tempted to minimize it.</w:t>
      </w:r>
    </w:p>
    <w:p>
      <w:pPr>
        <w:spacing w:before="200" w:after="80"/>
      </w:pPr>
      <w:r>
        <w:rPr>
          <w:b/>
          <w:i w:val="0"/>
          <w:color w:val="14352A"/>
          <w:sz w:val="24"/>
        </w:rPr>
        <w:t>7.2 Pre-committed response to a material defect found after first issue</w:t>
      </w:r>
    </w:p>
    <w:p>
      <w:pPr>
        <w:pStyle w:val="ListBullet"/>
        <w:spacing w:after="60"/>
      </w:pPr>
      <w:r>
        <w:rPr>
          <w:b/>
          <w:i w:val="0"/>
          <w:sz w:val="20"/>
        </w:rPr>
        <w:t>Stop selling immediately; keep administering.</w:t>
      </w:r>
      <w:r>
        <w:rPr>
          <w:b w:val="0"/>
          <w:i w:val="0"/>
          <w:sz w:val="20"/>
        </w:rPr>
        <w:t xml:space="preserve"> New business suspension is reversible and cheap. Service suspension is neither, and the policyholders already in force did nothing wrong.</w:t>
      </w:r>
    </w:p>
    <w:p>
      <w:pPr>
        <w:pStyle w:val="ListBullet"/>
        <w:spacing w:after="60"/>
      </w:pPr>
      <w:r>
        <w:rPr>
          <w:b/>
          <w:i w:val="0"/>
          <w:sz w:val="20"/>
        </w:rPr>
        <w:t>Notify Compliance and the Gate Review Board chair within the same business day</w:t>
      </w:r>
      <w:r>
        <w:rPr>
          <w:b w:val="0"/>
          <w:i w:val="0"/>
          <w:sz w:val="20"/>
        </w:rPr>
        <w:t>, before the scope of the defect is understood. Waiting for a complete picture is how disclosure becomes late.</w:t>
      </w:r>
    </w:p>
    <w:p>
      <w:pPr>
        <w:pStyle w:val="ListBullet"/>
        <w:spacing w:after="60"/>
      </w:pPr>
      <w:r>
        <w:rPr>
          <w:b/>
          <w:i w:val="0"/>
          <w:sz w:val="20"/>
        </w:rPr>
        <w:t>Assess policyholder detriment before assessing program impact.</w:t>
      </w:r>
      <w:r>
        <w:rPr>
          <w:b w:val="0"/>
          <w:i w:val="0"/>
          <w:sz w:val="20"/>
        </w:rPr>
        <w:t xml:space="preserve"> If any issued contract is disadvantaged, remediation of that detriment is not traded against schedule.</w:t>
      </w:r>
    </w:p>
    <w:p>
      <w:pPr>
        <w:pStyle w:val="ListBullet"/>
        <w:spacing w:after="60"/>
      </w:pPr>
      <w:r>
        <w:rPr>
          <w:b/>
          <w:i w:val="0"/>
          <w:sz w:val="20"/>
        </w:rPr>
        <w:t>Do not reissue or amend contracts without Legal sign-off</w:t>
      </w:r>
      <w:r>
        <w:rPr>
          <w:b w:val="0"/>
          <w:i w:val="0"/>
          <w:sz w:val="20"/>
        </w:rPr>
        <w:t>, regardless of how obviously clerical the fix appears.</w:t>
      </w:r>
    </w:p>
    <w:p>
      <w:pPr>
        <w:spacing w:before="280" w:after="80"/>
      </w:pPr>
      <w:r>
        <w:rPr>
          <w:b/>
          <w:i w:val="0"/>
          <w:color w:val="14352A"/>
          <w:sz w:val="28"/>
        </w:rPr>
        <w:t>8. Hypercare — Structure, Staffing and Unreleased Funding</w:t>
      </w:r>
    </w:p>
    <w:p>
      <w:pPr>
        <w:spacing w:after="120"/>
      </w:pPr>
      <w:r>
        <w:rPr>
          <w:b w:val="0"/>
          <w:i w:val="0"/>
          <w:sz w:val="20"/>
        </w:rPr>
        <w:t>Hypercare is the elevated-support period immediately following launch, during which defects are triaged faster, staffing is heavier, and the operation runs with direct access to the people who built the platform. It is where the residual risk of the entire program concentrates.</w:t>
      </w:r>
    </w:p>
    <w:p>
      <w:pPr>
        <w:spacing w:before="200" w:after="80"/>
      </w:pPr>
      <w:r>
        <w:rPr>
          <w:b/>
          <w:i w:val="0"/>
          <w:color w:val="14352A"/>
          <w:sz w:val="24"/>
        </w:rPr>
        <w:t>8.1 The funding problem, stated plainly</w:t>
      </w:r>
    </w:p>
    <w:p>
      <w:pPr>
        <w:spacing w:after="120"/>
      </w:pPr>
      <w:r>
        <w:rPr>
          <w:b w:val="0"/>
          <w:i w:val="0"/>
          <w:sz w:val="20"/>
        </w:rPr>
        <w:t xml:space="preserve">Hypercare is delivered in part by Cordelane under work package </w:t>
      </w:r>
      <w:r>
        <w:rPr>
          <w:b/>
          <w:i w:val="0"/>
          <w:sz w:val="20"/>
        </w:rPr>
        <w:t>WP-3 — Stage 4 cutover, hypercare and handover</w:t>
      </w:r>
      <w:r>
        <w:rPr>
          <w:b w:val="0"/>
          <w:i w:val="0"/>
          <w:sz w:val="20"/>
        </w:rPr>
        <w:t xml:space="preserve">, valued at </w:t>
      </w:r>
      <w:r>
        <w:rPr>
          <w:b/>
          <w:i w:val="0"/>
          <w:sz w:val="20"/>
        </w:rPr>
        <w:t>$410,000</w:t>
      </w:r>
      <w:r>
        <w:rPr>
          <w:b w:val="0"/>
          <w:i w:val="0"/>
          <w:sz w:val="20"/>
        </w:rPr>
        <w:t xml:space="preserve">, or </w:t>
      </w:r>
      <w:r>
        <w:rPr>
          <w:b/>
          <w:i w:val="0"/>
          <w:sz w:val="20"/>
        </w:rPr>
        <w:t>9%</w:t>
      </w:r>
      <w:r>
        <w:rPr>
          <w:b w:val="0"/>
          <w:i w:val="0"/>
          <w:sz w:val="20"/>
        </w:rPr>
        <w:t xml:space="preserve"> of the </w:t>
      </w:r>
      <w:r>
        <w:rPr>
          <w:b/>
          <w:i w:val="0"/>
          <w:sz w:val="20"/>
        </w:rPr>
        <w:t>$4,330,000</w:t>
      </w:r>
      <w:r>
        <w:rPr>
          <w:b w:val="0"/>
          <w:i w:val="0"/>
          <w:sz w:val="20"/>
        </w:rPr>
        <w:t xml:space="preserve"> Stage 4 tranche. Consistent with the program's gate-authorized contracting model, WP-3 is </w:t>
      </w:r>
      <w:r>
        <w:rPr>
          <w:b/>
          <w:i w:val="0"/>
          <w:sz w:val="20"/>
        </w:rPr>
        <w:t>not released</w:t>
      </w:r>
      <w:r>
        <w:rPr>
          <w:b w:val="0"/>
          <w:i w:val="0"/>
          <w:sz w:val="20"/>
        </w:rPr>
        <w:t xml:space="preserve">. It releases at Gate 4, which is </w:t>
      </w:r>
      <w:r>
        <w:rPr>
          <w:b/>
          <w:i w:val="0"/>
          <w:sz w:val="20"/>
        </w:rPr>
        <w:t>11 days</w:t>
      </w:r>
      <w:r>
        <w:rPr>
          <w:b w:val="0"/>
          <w:i w:val="0"/>
          <w:sz w:val="20"/>
        </w:rPr>
        <w:t xml:space="preserve"> before launch.</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The vendor that runs hypercare is not under contract for hypercare during any of the readiness period.</w:t>
            </w:r>
            <w:r>
              <w:rPr>
                <w:b w:val="0"/>
                <w:i w:val="0"/>
                <w:sz w:val="20"/>
              </w:rPr>
              <w:t xml:space="preserve"> This is a direct and intended consequence of gate-authorized funding, and the Vendor Management Plan explains why the program contracts this way — a gated program cannot commit to scope a future gate may decline to fund. The discipline is correct. The operational consequence is still real: for the entire readiness window, the people expected to stabilize the launch have no contractual obligation to prepare for it, and 11 days is not enough time to mobilize a team that has not been paying attention. </w:t>
            </w:r>
            <w:r>
              <w:rPr>
                <w:b/>
                <w:i w:val="0"/>
                <w:sz w:val="20"/>
              </w:rPr>
              <w:t>The mitigation is not to release funding early. It is to require, as a Gate 4 entry condition, that Cordelane has named the hypercare personnel and that those individuals have attended both dress rehearsals under WP-2.</w:t>
            </w:r>
            <w:r>
              <w:rPr>
                <w:b w:val="0"/>
                <w:i w:val="0"/>
                <w:sz w:val="20"/>
              </w:rPr>
              <w:t xml:space="preserve"> That places the preparation inside a work package that </w:t>
            </w:r>
            <w:r>
              <w:rPr>
                <w:b w:val="0"/>
                <w:i/>
                <w:sz w:val="20"/>
              </w:rPr>
              <w:t>is</w:t>
            </w:r>
            <w:r>
              <w:rPr>
                <w:b w:val="0"/>
                <w:i w:val="0"/>
                <w:sz w:val="20"/>
              </w:rPr>
              <w:t xml:space="preserve"> released, at no additional cost, and it is the only version of this problem the program can solve without breaking its own funding model. </w:t>
            </w:r>
          </w:p>
        </w:tc>
      </w:tr>
    </w:tbl>
    <w:p/>
    <w:p>
      <w:pPr>
        <w:spacing w:before="200" w:after="80"/>
      </w:pPr>
      <w:r>
        <w:rPr>
          <w:b/>
          <w:i w:val="0"/>
          <w:color w:val="14352A"/>
          <w:sz w:val="24"/>
        </w:rPr>
        <w:t>8.2 Hypercare structure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Period</w:t>
            </w:r>
          </w:p>
        </w:tc>
        <w:tc>
          <w:tcPr>
            <w:tcW w:type="dxa" w:w="3216"/>
            <w:shd w:val="clear" w:fill="14352A"/>
          </w:tcPr>
          <w:p>
            <w:pPr>
              <w:spacing w:before="40" w:after="40"/>
            </w:pPr>
            <w:r>
              <w:rPr>
                <w:b/>
                <w:i w:val="0"/>
                <w:color w:val="FFFFFF"/>
                <w:sz w:val="17"/>
              </w:rPr>
              <w:t>Posture</w:t>
            </w:r>
          </w:p>
        </w:tc>
        <w:tc>
          <w:tcPr>
            <w:tcW w:type="dxa" w:w="3216"/>
            <w:shd w:val="clear" w:fill="14352A"/>
          </w:tcPr>
          <w:p>
            <w:pPr>
              <w:spacing w:before="40" w:after="40"/>
            </w:pPr>
            <w:r>
              <w:rPr>
                <w:b/>
                <w:i w:val="0"/>
                <w:color w:val="FFFFFF"/>
                <w:sz w:val="17"/>
              </w:rPr>
              <w:t>Standing arrangements</w:t>
            </w:r>
          </w:p>
        </w:tc>
      </w:tr>
      <w:tr>
        <w:tc>
          <w:tcPr>
            <w:tcW w:type="dxa" w:w="3216"/>
          </w:tcPr>
          <w:p>
            <w:pPr>
              <w:spacing w:before="40" w:after="40"/>
            </w:pPr>
            <w:r>
              <w:rPr>
                <w:b w:val="0"/>
                <w:i w:val="0"/>
                <w:sz w:val="17"/>
              </w:rPr>
              <w:t>Launch day</w:t>
            </w:r>
          </w:p>
        </w:tc>
        <w:tc>
          <w:tcPr>
            <w:tcW w:type="dxa" w:w="3216"/>
          </w:tcPr>
          <w:p>
            <w:pPr>
              <w:spacing w:before="40" w:after="40"/>
            </w:pPr>
            <w:r>
              <w:rPr>
                <w:b w:val="0"/>
                <w:i w:val="0"/>
                <w:sz w:val="17"/>
              </w:rPr>
              <w:t>Command</w:t>
            </w:r>
          </w:p>
        </w:tc>
        <w:tc>
          <w:tcPr>
            <w:tcW w:type="dxa" w:w="3216"/>
          </w:tcPr>
          <w:p>
            <w:pPr>
              <w:spacing w:before="40" w:after="40"/>
            </w:pPr>
            <w:r>
              <w:rPr>
                <w:b w:val="0"/>
                <w:i w:val="0"/>
                <w:sz w:val="17"/>
              </w:rPr>
              <w:t>All named owners available. Hourly checkpoint. Direct line from new business to platform team, no ticket queue.</w:t>
            </w:r>
          </w:p>
        </w:tc>
      </w:tr>
      <w:tr>
        <w:tc>
          <w:tcPr>
            <w:tcW w:type="dxa" w:w="3216"/>
          </w:tcPr>
          <w:p>
            <w:pPr>
              <w:spacing w:before="40" w:after="40"/>
            </w:pPr>
            <w:r>
              <w:rPr>
                <w:b w:val="0"/>
                <w:i w:val="0"/>
                <w:sz w:val="17"/>
              </w:rPr>
              <w:t>Week 1</w:t>
            </w:r>
          </w:p>
        </w:tc>
        <w:tc>
          <w:tcPr>
            <w:tcW w:type="dxa" w:w="3216"/>
          </w:tcPr>
          <w:p>
            <w:pPr>
              <w:spacing w:before="40" w:after="40"/>
            </w:pPr>
            <w:r>
              <w:rPr>
                <w:b w:val="0"/>
                <w:i w:val="0"/>
                <w:sz w:val="17"/>
              </w:rPr>
              <w:t>Elevated</w:t>
            </w:r>
          </w:p>
        </w:tc>
        <w:tc>
          <w:tcPr>
            <w:tcW w:type="dxa" w:w="3216"/>
          </w:tcPr>
          <w:p>
            <w:pPr>
              <w:spacing w:before="40" w:after="40"/>
            </w:pPr>
            <w:r>
              <w:rPr>
                <w:b w:val="0"/>
                <w:i w:val="0"/>
                <w:sz w:val="17"/>
              </w:rPr>
              <w:t>Twice-daily checkpoint. Defect triage within the working day. First-issue notification per §7.1.</w:t>
            </w:r>
          </w:p>
        </w:tc>
      </w:tr>
      <w:tr>
        <w:tc>
          <w:tcPr>
            <w:tcW w:type="dxa" w:w="3216"/>
          </w:tcPr>
          <w:p>
            <w:pPr>
              <w:spacing w:before="40" w:after="40"/>
            </w:pPr>
            <w:r>
              <w:rPr>
                <w:b w:val="0"/>
                <w:i w:val="0"/>
                <w:sz w:val="17"/>
              </w:rPr>
              <w:t>Weeks 2–4</w:t>
            </w:r>
          </w:p>
        </w:tc>
        <w:tc>
          <w:tcPr>
            <w:tcW w:type="dxa" w:w="3216"/>
          </w:tcPr>
          <w:p>
            <w:pPr>
              <w:spacing w:before="40" w:after="40"/>
            </w:pPr>
            <w:r>
              <w:rPr>
                <w:b w:val="0"/>
                <w:i w:val="0"/>
                <w:sz w:val="17"/>
              </w:rPr>
              <w:t>Elevated, tapering</w:t>
            </w:r>
          </w:p>
        </w:tc>
        <w:tc>
          <w:tcPr>
            <w:tcW w:type="dxa" w:w="3216"/>
          </w:tcPr>
          <w:p>
            <w:pPr>
              <w:spacing w:before="40" w:after="40"/>
            </w:pPr>
            <w:r>
              <w:rPr>
                <w:b w:val="0"/>
                <w:i w:val="0"/>
                <w:sz w:val="17"/>
              </w:rPr>
              <w:t>Daily checkpoint. Trigger set from §3.1 active. Weekly report to the Gate Review Board.</w:t>
            </w:r>
          </w:p>
        </w:tc>
      </w:tr>
      <w:tr>
        <w:tc>
          <w:tcPr>
            <w:tcW w:type="dxa" w:w="3216"/>
          </w:tcPr>
          <w:p>
            <w:pPr>
              <w:spacing w:before="40" w:after="40"/>
            </w:pPr>
            <w:r>
              <w:rPr>
                <w:b w:val="0"/>
                <w:i w:val="0"/>
                <w:sz w:val="17"/>
              </w:rPr>
              <w:t>Weeks 5–8</w:t>
            </w:r>
          </w:p>
        </w:tc>
        <w:tc>
          <w:tcPr>
            <w:tcW w:type="dxa" w:w="3216"/>
          </w:tcPr>
          <w:p>
            <w:pPr>
              <w:spacing w:before="40" w:after="40"/>
            </w:pPr>
            <w:r>
              <w:rPr>
                <w:b w:val="0"/>
                <w:i w:val="0"/>
                <w:sz w:val="17"/>
              </w:rPr>
              <w:t>Transitional</w:t>
            </w:r>
          </w:p>
        </w:tc>
        <w:tc>
          <w:tcPr>
            <w:tcW w:type="dxa" w:w="3216"/>
          </w:tcPr>
          <w:p>
            <w:pPr>
              <w:spacing w:before="40" w:after="40"/>
            </w:pPr>
            <w:r>
              <w:rPr>
                <w:b w:val="0"/>
                <w:i w:val="0"/>
                <w:sz w:val="17"/>
              </w:rPr>
              <w:t>Twice weekly. Handover documentation being signed off progressively, not at the end.</w:t>
            </w:r>
          </w:p>
        </w:tc>
      </w:tr>
      <w:tr>
        <w:tc>
          <w:tcPr>
            <w:tcW w:type="dxa" w:w="3216"/>
          </w:tcPr>
          <w:p>
            <w:pPr>
              <w:spacing w:before="40" w:after="40"/>
            </w:pPr>
            <w:r>
              <w:rPr>
                <w:b w:val="0"/>
                <w:i w:val="0"/>
                <w:sz w:val="17"/>
              </w:rPr>
              <w:t>Exit</w:t>
            </w:r>
          </w:p>
        </w:tc>
        <w:tc>
          <w:tcPr>
            <w:tcW w:type="dxa" w:w="3216"/>
          </w:tcPr>
          <w:p>
            <w:pPr>
              <w:spacing w:before="40" w:after="40"/>
            </w:pPr>
            <w:r>
              <w:rPr>
                <w:b w:val="0"/>
                <w:i w:val="0"/>
                <w:sz w:val="17"/>
              </w:rPr>
              <w:t>Steady state</w:t>
            </w:r>
          </w:p>
        </w:tc>
        <w:tc>
          <w:tcPr>
            <w:tcW w:type="dxa" w:w="3216"/>
          </w:tcPr>
          <w:p>
            <w:pPr>
              <w:spacing w:before="40" w:after="40"/>
            </w:pPr>
            <w:r>
              <w:rPr>
                <w:b w:val="0"/>
                <w:i w:val="0"/>
                <w:sz w:val="17"/>
              </w:rPr>
              <w:t>Formal acceptance by the receiving operational managers, evidenced against the day-one model in §3.2. Gate 5 draws on this evidence.</w:t>
            </w:r>
          </w:p>
        </w:tc>
      </w:tr>
    </w:tbl>
    <w:p/>
    <w:p>
      <w:pPr>
        <w:spacing w:before="200" w:after="80"/>
      </w:pPr>
      <w:r>
        <w:rPr>
          <w:b/>
          <w:i w:val="0"/>
          <w:color w:val="14352A"/>
          <w:sz w:val="24"/>
        </w:rPr>
        <w:t>8.3 The handover is a decision, not a date</w:t>
      </w:r>
    </w:p>
    <w:p>
      <w:pPr>
        <w:spacing w:after="120"/>
      </w:pPr>
      <w:r>
        <w:rPr>
          <w:b w:val="0"/>
          <w:i w:val="0"/>
          <w:sz w:val="20"/>
        </w:rPr>
        <w:t>Handover completes when the receiving managers accept the operation, not when the calendar reaches week eight. Acceptance is withheld if defect volume is still elevated, if any §3.1 trigger is active, or if the suitability queue standard from §4.3 is not being met. Writing this down before launch matters, because the pressure at week eight will run entirely one way — program teams want to close, vendors want to demobilize, and nobody in the room is paid to keep it open.</w:t>
      </w:r>
    </w:p>
    <w:p>
      <w:pPr>
        <w:spacing w:before="280" w:after="80"/>
      </w:pPr>
      <w:r>
        <w:rPr>
          <w:b/>
          <w:i w:val="0"/>
          <w:color w:val="14352A"/>
          <w:sz w:val="28"/>
        </w:rPr>
        <w:t>9. Readiness Criteria and the 11-Day Window</w:t>
      </w:r>
    </w:p>
    <w:p>
      <w:pPr>
        <w:spacing w:after="120"/>
      </w:pPr>
      <w:r>
        <w:rPr>
          <w:b w:val="0"/>
          <w:i w:val="0"/>
          <w:sz w:val="20"/>
        </w:rPr>
        <w:t>The nine criteria below are Operations' evidence into the Gate 4 launch decision. They do not replace the Launch Readiness Criteria, which owns the go / no-go framework and its no-go conditions; these are the operational inputs that document feeds on.</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ID</w:t>
            </w:r>
          </w:p>
        </w:tc>
        <w:tc>
          <w:tcPr>
            <w:tcW w:type="dxa" w:w="2412"/>
            <w:shd w:val="clear" w:fill="14352A"/>
          </w:tcPr>
          <w:p>
            <w:pPr>
              <w:spacing w:before="40" w:after="40"/>
            </w:pPr>
            <w:r>
              <w:rPr>
                <w:b/>
                <w:i w:val="0"/>
                <w:color w:val="FFFFFF"/>
                <w:sz w:val="17"/>
              </w:rPr>
              <w:t>Criterion</w:t>
            </w:r>
          </w:p>
        </w:tc>
        <w:tc>
          <w:tcPr>
            <w:tcW w:type="dxa" w:w="2412"/>
            <w:shd w:val="clear" w:fill="14352A"/>
          </w:tcPr>
          <w:p>
            <w:pPr>
              <w:spacing w:before="40" w:after="40"/>
            </w:pPr>
            <w:r>
              <w:rPr>
                <w:b/>
                <w:i w:val="0"/>
                <w:color w:val="FFFFFF"/>
                <w:sz w:val="17"/>
              </w:rPr>
              <w:t>Owner</w:t>
            </w:r>
          </w:p>
        </w:tc>
        <w:tc>
          <w:tcPr>
            <w:tcW w:type="dxa" w:w="2412"/>
            <w:shd w:val="clear" w:fill="14352A"/>
          </w:tcPr>
          <w:p>
            <w:pPr>
              <w:spacing w:before="40" w:after="40"/>
            </w:pPr>
            <w:r>
              <w:rPr>
                <w:b/>
                <w:i w:val="0"/>
                <w:color w:val="FFFFFF"/>
                <w:sz w:val="17"/>
              </w:rPr>
              <w:t>Status at this version</w:t>
            </w:r>
          </w:p>
        </w:tc>
      </w:tr>
      <w:tr>
        <w:tc>
          <w:tcPr>
            <w:tcW w:type="dxa" w:w="2412"/>
          </w:tcPr>
          <w:p>
            <w:pPr>
              <w:spacing w:before="40" w:after="40"/>
            </w:pPr>
            <w:r>
              <w:rPr>
                <w:b/>
                <w:i w:val="0"/>
                <w:sz w:val="17"/>
              </w:rPr>
              <w:t>OR-1</w:t>
            </w:r>
          </w:p>
        </w:tc>
        <w:tc>
          <w:tcPr>
            <w:tcW w:type="dxa" w:w="2412"/>
          </w:tcPr>
          <w:p>
            <w:pPr>
              <w:spacing w:before="40" w:after="40"/>
            </w:pPr>
            <w:r>
              <w:rPr>
                <w:b w:val="0"/>
                <w:i w:val="0"/>
                <w:sz w:val="17"/>
              </w:rPr>
              <w:t>Day-one operating model documented and accepted by the receiving managers</w:t>
            </w:r>
          </w:p>
        </w:tc>
        <w:tc>
          <w:tcPr>
            <w:tcW w:type="dxa" w:w="2412"/>
          </w:tcPr>
          <w:p>
            <w:pPr>
              <w:spacing w:before="40" w:after="40"/>
            </w:pPr>
            <w:r>
              <w:rPr>
                <w:b w:val="0"/>
                <w:i w:val="0"/>
                <w:sz w:val="17"/>
              </w:rPr>
              <w:t>L. Marchand</w:t>
            </w:r>
          </w:p>
        </w:tc>
        <w:tc>
          <w:tcPr>
            <w:tcW w:type="dxa" w:w="2412"/>
          </w:tcPr>
          <w:p>
            <w:pPr>
              <w:spacing w:before="40" w:after="40"/>
            </w:pPr>
            <w:r>
              <w:rPr>
                <w:b w:val="0"/>
                <w:i w:val="0"/>
                <w:sz w:val="17"/>
              </w:rPr>
              <w:t>Draft complete</w:t>
            </w:r>
          </w:p>
        </w:tc>
      </w:tr>
      <w:tr>
        <w:tc>
          <w:tcPr>
            <w:tcW w:type="dxa" w:w="2412"/>
          </w:tcPr>
          <w:p>
            <w:pPr>
              <w:spacing w:before="40" w:after="40"/>
            </w:pPr>
            <w:r>
              <w:rPr>
                <w:b/>
                <w:i w:val="0"/>
                <w:sz w:val="17"/>
              </w:rPr>
              <w:t>OR-2</w:t>
            </w:r>
          </w:p>
        </w:tc>
        <w:tc>
          <w:tcPr>
            <w:tcW w:type="dxa" w:w="2412"/>
          </w:tcPr>
          <w:p>
            <w:pPr>
              <w:spacing w:before="40" w:after="40"/>
            </w:pPr>
            <w:r>
              <w:rPr>
                <w:b w:val="0"/>
                <w:i w:val="0"/>
                <w:sz w:val="17"/>
              </w:rPr>
              <w:t>New business staff trained and assessed on the product, not just the platform</w:t>
            </w:r>
          </w:p>
        </w:tc>
        <w:tc>
          <w:tcPr>
            <w:tcW w:type="dxa" w:w="2412"/>
          </w:tcPr>
          <w:p>
            <w:pPr>
              <w:spacing w:before="40" w:after="40"/>
            </w:pPr>
            <w:r>
              <w:rPr>
                <w:b w:val="0"/>
                <w:i w:val="0"/>
                <w:sz w:val="17"/>
              </w:rPr>
              <w:t>N. Jessup</w:t>
            </w:r>
          </w:p>
        </w:tc>
        <w:tc>
          <w:tcPr>
            <w:tcW w:type="dxa" w:w="2412"/>
          </w:tcPr>
          <w:p>
            <w:pPr>
              <w:spacing w:before="40" w:after="40"/>
            </w:pPr>
            <w:r>
              <w:rPr>
                <w:b w:val="0"/>
                <w:i w:val="0"/>
                <w:sz w:val="17"/>
              </w:rPr>
              <w:t>Blocked on form approval</w:t>
            </w:r>
          </w:p>
        </w:tc>
      </w:tr>
      <w:tr>
        <w:tc>
          <w:tcPr>
            <w:tcW w:type="dxa" w:w="2412"/>
          </w:tcPr>
          <w:p>
            <w:pPr>
              <w:spacing w:before="40" w:after="40"/>
            </w:pPr>
            <w:r>
              <w:rPr>
                <w:b/>
                <w:i w:val="0"/>
                <w:sz w:val="17"/>
              </w:rPr>
              <w:t>OR-3</w:t>
            </w:r>
          </w:p>
        </w:tc>
        <w:tc>
          <w:tcPr>
            <w:tcW w:type="dxa" w:w="2412"/>
          </w:tcPr>
          <w:p>
            <w:pPr>
              <w:spacing w:before="40" w:after="40"/>
            </w:pPr>
            <w:r>
              <w:rPr>
                <w:b w:val="0"/>
                <w:i w:val="0"/>
                <w:sz w:val="17"/>
              </w:rPr>
              <w:t>Suitability review capacity and escalation path confirmed against projected volume</w:t>
            </w:r>
          </w:p>
        </w:tc>
        <w:tc>
          <w:tcPr>
            <w:tcW w:type="dxa" w:w="2412"/>
          </w:tcPr>
          <w:p>
            <w:pPr>
              <w:spacing w:before="40" w:after="40"/>
            </w:pPr>
            <w:r>
              <w:rPr>
                <w:b w:val="0"/>
                <w:i w:val="0"/>
                <w:sz w:val="17"/>
              </w:rPr>
              <w:t>S. Carreno</w:t>
            </w:r>
          </w:p>
        </w:tc>
        <w:tc>
          <w:tcPr>
            <w:tcW w:type="dxa" w:w="2412"/>
          </w:tcPr>
          <w:p>
            <w:pPr>
              <w:spacing w:before="40" w:after="40"/>
            </w:pPr>
            <w:r>
              <w:rPr>
                <w:b w:val="0"/>
                <w:i w:val="0"/>
                <w:sz w:val="17"/>
              </w:rPr>
              <w:t>Open — see §4.3</w:t>
            </w:r>
          </w:p>
        </w:tc>
      </w:tr>
      <w:tr>
        <w:tc>
          <w:tcPr>
            <w:tcW w:type="dxa" w:w="2412"/>
          </w:tcPr>
          <w:p>
            <w:pPr>
              <w:spacing w:before="40" w:after="40"/>
            </w:pPr>
            <w:r>
              <w:rPr>
                <w:b/>
                <w:i w:val="0"/>
                <w:sz w:val="17"/>
              </w:rPr>
              <w:t>OR-4</w:t>
            </w:r>
          </w:p>
        </w:tc>
        <w:tc>
          <w:tcPr>
            <w:tcW w:type="dxa" w:w="2412"/>
          </w:tcPr>
          <w:p>
            <w:pPr>
              <w:spacing w:before="40" w:after="40"/>
            </w:pPr>
            <w:r>
              <w:rPr>
                <w:b w:val="0"/>
                <w:i w:val="0"/>
                <w:sz w:val="17"/>
              </w:rPr>
              <w:t>Two operational dress rehearsals completed, exceptions included</w:t>
            </w:r>
          </w:p>
        </w:tc>
        <w:tc>
          <w:tcPr>
            <w:tcW w:type="dxa" w:w="2412"/>
          </w:tcPr>
          <w:p>
            <w:pPr>
              <w:spacing w:before="40" w:after="40"/>
            </w:pPr>
            <w:r>
              <w:rPr>
                <w:b w:val="0"/>
                <w:i w:val="0"/>
                <w:sz w:val="17"/>
              </w:rPr>
              <w:t>D. Fairbairn</w:t>
            </w:r>
          </w:p>
        </w:tc>
        <w:tc>
          <w:tcPr>
            <w:tcW w:type="dxa" w:w="2412"/>
          </w:tcPr>
          <w:p>
            <w:pPr>
              <w:spacing w:before="40" w:after="40"/>
            </w:pPr>
            <w:r>
              <w:rPr>
                <w:b w:val="0"/>
                <w:i w:val="0"/>
                <w:sz w:val="17"/>
              </w:rPr>
              <w:t>Scheduled</w:t>
            </w:r>
          </w:p>
        </w:tc>
      </w:tr>
      <w:tr>
        <w:tc>
          <w:tcPr>
            <w:tcW w:type="dxa" w:w="2412"/>
          </w:tcPr>
          <w:p>
            <w:pPr>
              <w:spacing w:before="40" w:after="40"/>
            </w:pPr>
            <w:r>
              <w:rPr>
                <w:b/>
                <w:i w:val="0"/>
                <w:sz w:val="17"/>
              </w:rPr>
              <w:t>OR-5</w:t>
            </w:r>
          </w:p>
        </w:tc>
        <w:tc>
          <w:tcPr>
            <w:tcW w:type="dxa" w:w="2412"/>
          </w:tcPr>
          <w:p>
            <w:pPr>
              <w:spacing w:before="40" w:after="40"/>
            </w:pPr>
            <w:r>
              <w:rPr>
                <w:b w:val="0"/>
                <w:i w:val="0"/>
                <w:sz w:val="17"/>
              </w:rPr>
              <w:t>Every accepted Severity-2 workaround has a named owner, a written procedure and a staffing allocation</w:t>
            </w:r>
          </w:p>
        </w:tc>
        <w:tc>
          <w:tcPr>
            <w:tcW w:type="dxa" w:w="2412"/>
          </w:tcPr>
          <w:p>
            <w:pPr>
              <w:spacing w:before="40" w:after="40"/>
            </w:pPr>
            <w:r>
              <w:rPr>
                <w:b w:val="0"/>
                <w:i w:val="0"/>
                <w:sz w:val="17"/>
              </w:rPr>
              <w:t>D. Fairbairn</w:t>
            </w:r>
          </w:p>
        </w:tc>
        <w:tc>
          <w:tcPr>
            <w:tcW w:type="dxa" w:w="2412"/>
          </w:tcPr>
          <w:p>
            <w:pPr>
              <w:spacing w:before="40" w:after="40"/>
            </w:pPr>
            <w:r>
              <w:rPr>
                <w:b w:val="0"/>
                <w:i w:val="0"/>
                <w:sz w:val="17"/>
              </w:rPr>
              <w:t>Open — see §9.2</w:t>
            </w:r>
          </w:p>
        </w:tc>
      </w:tr>
      <w:tr>
        <w:tc>
          <w:tcPr>
            <w:tcW w:type="dxa" w:w="2412"/>
          </w:tcPr>
          <w:p>
            <w:pPr>
              <w:spacing w:before="40" w:after="40"/>
            </w:pPr>
            <w:r>
              <w:rPr>
                <w:b/>
                <w:i w:val="0"/>
                <w:sz w:val="17"/>
              </w:rPr>
              <w:t>OR-6</w:t>
            </w:r>
          </w:p>
        </w:tc>
        <w:tc>
          <w:tcPr>
            <w:tcW w:type="dxa" w:w="2412"/>
          </w:tcPr>
          <w:p>
            <w:pPr>
              <w:spacing w:before="40" w:after="40"/>
            </w:pPr>
            <w:r>
              <w:rPr>
                <w:b w:val="0"/>
                <w:i w:val="0"/>
                <w:sz w:val="17"/>
              </w:rPr>
              <w:t>Platform cutover rehearsed end-to-end in a production-like environment</w:t>
            </w:r>
          </w:p>
        </w:tc>
        <w:tc>
          <w:tcPr>
            <w:tcW w:type="dxa" w:w="2412"/>
          </w:tcPr>
          <w:p>
            <w:pPr>
              <w:spacing w:before="40" w:after="40"/>
            </w:pPr>
            <w:r>
              <w:rPr>
                <w:b w:val="0"/>
                <w:i w:val="0"/>
                <w:sz w:val="17"/>
              </w:rPr>
              <w:t>V. Sandoval</w:t>
            </w:r>
          </w:p>
        </w:tc>
        <w:tc>
          <w:tcPr>
            <w:tcW w:type="dxa" w:w="2412"/>
          </w:tcPr>
          <w:p>
            <w:pPr>
              <w:spacing w:before="40" w:after="40"/>
            </w:pPr>
            <w:r>
              <w:rPr>
                <w:b w:val="0"/>
                <w:i w:val="0"/>
                <w:sz w:val="17"/>
              </w:rPr>
              <w:t>Not started</w:t>
            </w:r>
          </w:p>
        </w:tc>
      </w:tr>
      <w:tr>
        <w:tc>
          <w:tcPr>
            <w:tcW w:type="dxa" w:w="2412"/>
          </w:tcPr>
          <w:p>
            <w:pPr>
              <w:spacing w:before="40" w:after="40"/>
            </w:pPr>
            <w:r>
              <w:rPr>
                <w:b/>
                <w:i w:val="0"/>
                <w:sz w:val="17"/>
              </w:rPr>
              <w:t>OR-7</w:t>
            </w:r>
          </w:p>
        </w:tc>
        <w:tc>
          <w:tcPr>
            <w:tcW w:type="dxa" w:w="2412"/>
          </w:tcPr>
          <w:p>
            <w:pPr>
              <w:spacing w:before="40" w:after="40"/>
            </w:pPr>
            <w:r>
              <w:rPr>
                <w:b w:val="0"/>
                <w:i w:val="0"/>
                <w:sz w:val="17"/>
              </w:rPr>
              <w:t>Reconciliation and daily controls proven, including the first valuation cycle</w:t>
            </w:r>
          </w:p>
        </w:tc>
        <w:tc>
          <w:tcPr>
            <w:tcW w:type="dxa" w:w="2412"/>
          </w:tcPr>
          <w:p>
            <w:pPr>
              <w:spacing w:before="40" w:after="40"/>
            </w:pPr>
            <w:r>
              <w:rPr>
                <w:b w:val="0"/>
                <w:i w:val="0"/>
                <w:sz w:val="17"/>
              </w:rPr>
              <w:t>R. Underwood</w:t>
            </w:r>
          </w:p>
        </w:tc>
        <w:tc>
          <w:tcPr>
            <w:tcW w:type="dxa" w:w="2412"/>
          </w:tcPr>
          <w:p>
            <w:pPr>
              <w:spacing w:before="40" w:after="40"/>
            </w:pPr>
            <w:r>
              <w:rPr>
                <w:b w:val="0"/>
                <w:i w:val="0"/>
                <w:sz w:val="17"/>
              </w:rPr>
              <w:t>Not started</w:t>
            </w:r>
          </w:p>
        </w:tc>
      </w:tr>
      <w:tr>
        <w:tc>
          <w:tcPr>
            <w:tcW w:type="dxa" w:w="2412"/>
          </w:tcPr>
          <w:p>
            <w:pPr>
              <w:spacing w:before="40" w:after="40"/>
            </w:pPr>
            <w:r>
              <w:rPr>
                <w:b/>
                <w:i w:val="0"/>
                <w:sz w:val="17"/>
              </w:rPr>
              <w:t>OR-8</w:t>
            </w:r>
          </w:p>
        </w:tc>
        <w:tc>
          <w:tcPr>
            <w:tcW w:type="dxa" w:w="2412"/>
          </w:tcPr>
          <w:p>
            <w:pPr>
              <w:spacing w:before="40" w:after="40"/>
            </w:pPr>
            <w:r>
              <w:rPr>
                <w:b w:val="0"/>
                <w:i w:val="0"/>
                <w:sz w:val="17"/>
              </w:rPr>
              <w:t>Hypercare staffing confirmed and under contract</w:t>
            </w:r>
          </w:p>
        </w:tc>
        <w:tc>
          <w:tcPr>
            <w:tcW w:type="dxa" w:w="2412"/>
          </w:tcPr>
          <w:p>
            <w:pPr>
              <w:spacing w:before="40" w:after="40"/>
            </w:pPr>
            <w:r>
              <w:rPr>
                <w:b w:val="0"/>
                <w:i w:val="0"/>
                <w:sz w:val="17"/>
              </w:rPr>
              <w:t>L. Marchand</w:t>
            </w:r>
          </w:p>
        </w:tc>
        <w:tc>
          <w:tcPr>
            <w:tcW w:type="dxa" w:w="2412"/>
          </w:tcPr>
          <w:p>
            <w:pPr>
              <w:spacing w:before="40" w:after="40"/>
            </w:pPr>
            <w:r>
              <w:rPr>
                <w:b w:val="0"/>
                <w:i w:val="0"/>
                <w:sz w:val="17"/>
              </w:rPr>
              <w:t>Cannot close before Gate 4</w:t>
            </w:r>
          </w:p>
        </w:tc>
      </w:tr>
      <w:tr>
        <w:tc>
          <w:tcPr>
            <w:tcW w:type="dxa" w:w="2412"/>
          </w:tcPr>
          <w:p>
            <w:pPr>
              <w:spacing w:before="40" w:after="40"/>
            </w:pPr>
            <w:r>
              <w:rPr>
                <w:b/>
                <w:i w:val="0"/>
                <w:sz w:val="17"/>
              </w:rPr>
              <w:t>OR-9</w:t>
            </w:r>
          </w:p>
        </w:tc>
        <w:tc>
          <w:tcPr>
            <w:tcW w:type="dxa" w:w="2412"/>
          </w:tcPr>
          <w:p>
            <w:pPr>
              <w:spacing w:before="40" w:after="40"/>
            </w:pPr>
            <w:r>
              <w:rPr>
                <w:b w:val="0"/>
                <w:i w:val="0"/>
                <w:sz w:val="17"/>
              </w:rPr>
              <w:t>Free-look and rescission handling proven, including premium return timing</w:t>
            </w:r>
          </w:p>
        </w:tc>
        <w:tc>
          <w:tcPr>
            <w:tcW w:type="dxa" w:w="2412"/>
          </w:tcPr>
          <w:p>
            <w:pPr>
              <w:spacing w:before="40" w:after="40"/>
            </w:pPr>
            <w:r>
              <w:rPr>
                <w:b w:val="0"/>
                <w:i w:val="0"/>
                <w:sz w:val="17"/>
              </w:rPr>
              <w:t>K. Beauchamp</w:t>
            </w:r>
          </w:p>
        </w:tc>
        <w:tc>
          <w:tcPr>
            <w:tcW w:type="dxa" w:w="2412"/>
          </w:tcPr>
          <w:p>
            <w:pPr>
              <w:spacing w:before="40" w:after="40"/>
            </w:pPr>
            <w:r>
              <w:rPr>
                <w:b w:val="0"/>
                <w:i w:val="0"/>
                <w:sz w:val="17"/>
              </w:rPr>
              <w:t>Not started</w:t>
            </w:r>
          </w:p>
        </w:tc>
      </w:tr>
    </w:tbl>
    <w:p/>
    <w:p>
      <w:pPr>
        <w:spacing w:before="200" w:after="80"/>
      </w:pPr>
      <w:r>
        <w:rPr>
          <w:b/>
          <w:i w:val="0"/>
          <w:color w:val="14352A"/>
          <w:sz w:val="24"/>
        </w:rPr>
        <w:t>9.1 Three of these cannot close before Gate 4, by construction</w:t>
      </w:r>
    </w:p>
    <w:p>
      <w:pPr>
        <w:spacing w:after="120"/>
      </w:pPr>
      <w:r>
        <w:rPr>
          <w:b w:val="0"/>
          <w:i w:val="0"/>
          <w:sz w:val="20"/>
        </w:rPr>
        <w:t>OR-2 is blocked on form approval (I-05) and cannot complete until forms clear. OR-8 cannot close until the vendor package releases, which is Gate 4 itself. OR-3 depends on staffing decisions that follow the Gate 4 funding release. Showing these as amber would imply they are progressing slowly. They are not progressing slowly; they are structurally sequenced after the gate that assesses them, and the honest presentation of a criterion that cannot close yet is to say so.</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11-day window is the real finding of this section.</w:t>
            </w:r>
            <w:r>
              <w:rPr>
                <w:b w:val="0"/>
                <w:i w:val="0"/>
                <w:sz w:val="20"/>
              </w:rPr>
              <w:t xml:space="preserve"> Gate 4 releases the funding, confirms the vendor, and assesses the readiness of criteria that depend on that funding and that vendor — 11 days before the product goes on sale. There is no version of this sequence in which a Gate 4 finding can be remediated before launch. </w:t>
            </w:r>
            <w:r>
              <w:rPr>
                <w:b/>
                <w:i w:val="0"/>
                <w:sz w:val="20"/>
              </w:rPr>
              <w:t>Which means Gate 4 is not really a readiness assessment; it is a launch-or-defer decision wearing a readiness assessment's clothing</w:t>
            </w:r>
            <w:r>
              <w:rPr>
                <w:b w:val="0"/>
                <w:i w:val="0"/>
                <w:sz w:val="20"/>
              </w:rPr>
              <w:t xml:space="preserve">, and the Gate Review Board should be told that plainly in advance rather than discovering it in the room. </w:t>
            </w:r>
          </w:p>
        </w:tc>
      </w:tr>
    </w:tbl>
    <w:p/>
    <w:p>
      <w:pPr>
        <w:spacing w:before="200" w:after="80"/>
      </w:pPr>
      <w:r>
        <w:rPr>
          <w:b/>
          <w:i w:val="0"/>
          <w:color w:val="14352A"/>
          <w:sz w:val="24"/>
        </w:rPr>
        <w:t>9.2 The workaround rule quietly assigns work to Operations</w:t>
      </w:r>
    </w:p>
    <w:p>
      <w:pPr>
        <w:spacing w:after="120"/>
      </w:pPr>
      <w:r>
        <w:rPr>
          <w:b w:val="0"/>
          <w:i w:val="0"/>
          <w:sz w:val="20"/>
        </w:rPr>
        <w:t xml:space="preserve">The Master Test &amp; Validation Strategy and the Launch Readiness Criteria both state that a Severity-2 defect may proceed to launch where its workaround is </w:t>
      </w:r>
      <w:r>
        <w:rPr>
          <w:b/>
          <w:i w:val="0"/>
          <w:sz w:val="20"/>
        </w:rPr>
        <w:t>documented, staffed and accepted</w:t>
      </w:r>
      <w:r>
        <w:rPr>
          <w:b w:val="0"/>
          <w:i w:val="0"/>
          <w:sz w:val="20"/>
        </w:rPr>
        <w:t xml:space="preserve">. That rule is sound, and the middle word is the one this plan cares about. </w:t>
      </w:r>
      <w:r>
        <w:rPr>
          <w:b w:val="0"/>
          <w:i/>
          <w:sz w:val="20"/>
        </w:rPr>
        <w:t>Staffed</w:t>
      </w:r>
      <w:r>
        <w:rPr>
          <w:b w:val="0"/>
          <w:i w:val="0"/>
          <w:sz w:val="20"/>
        </w:rPr>
        <w:t xml:space="preserve"> means somebody performs a manual step that the system was supposed to perform — and that somebody is almost always Operations.</w:t>
      </w:r>
    </w:p>
    <w:p>
      <w:pPr>
        <w:spacing w:after="120"/>
      </w:pPr>
      <w:r>
        <w:rPr>
          <w:b w:val="0"/>
          <w:i w:val="0"/>
          <w:sz w:val="20"/>
        </w:rPr>
        <w:t xml:space="preserve">Each accepted Severity-2 workaround therefore creates an operational liability that was created by a testing decision, costed in no budget, and inherited by a team of 7. Individually they are trivial. Collectively they are how a launch arrives with an operation quietly running on manual effort that nobody planned and nobody removes. </w:t>
      </w:r>
      <w:r>
        <w:rPr>
          <w:b/>
          <w:i w:val="0"/>
          <w:sz w:val="20"/>
        </w:rPr>
        <w:t>OR-5 requires every accepted workaround to carry a named owner, a written procedure and an explicit staffing allocation before Gate 4</w:t>
      </w:r>
      <w:r>
        <w:rPr>
          <w:b w:val="0"/>
          <w:i w:val="0"/>
          <w:sz w:val="20"/>
        </w:rPr>
        <w:t>, and the second dress rehearsal (T-21) exercises them as a set rather than individually — because the risk is cumulative load, and load is invisible one workaround at a time.</w:t>
      </w:r>
    </w:p>
    <w:p>
      <w:pPr>
        <w:spacing w:before="280" w:after="80"/>
      </w:pPr>
      <w:r>
        <w:rPr>
          <w:b/>
          <w:i w:val="0"/>
          <w:color w:val="14352A"/>
          <w:sz w:val="28"/>
        </w:rPr>
        <w:t>10. Dependencies Operations Does Not Own</w:t>
      </w:r>
    </w:p>
    <w:p>
      <w:pPr>
        <w:spacing w:after="120"/>
      </w:pPr>
      <w:r>
        <w:rPr>
          <w:b w:val="0"/>
          <w:i w:val="0"/>
          <w:sz w:val="20"/>
        </w:rPr>
        <w:t>Three readiness dependencies sit outside this plan's control and can each independently prevent launch. Naming them here is not an attempt to transfer accountability; it is so that Operations' readiness reporting is not read as a complete picture of launch readiness when it is not.</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Dependency</w:t>
            </w:r>
          </w:p>
        </w:tc>
        <w:tc>
          <w:tcPr>
            <w:tcW w:type="dxa" w:w="3216"/>
            <w:shd w:val="clear" w:fill="14352A"/>
          </w:tcPr>
          <w:p>
            <w:pPr>
              <w:spacing w:before="40" w:after="40"/>
            </w:pPr>
            <w:r>
              <w:rPr>
                <w:b/>
                <w:i w:val="0"/>
                <w:color w:val="FFFFFF"/>
                <w:sz w:val="17"/>
              </w:rPr>
              <w:t>Owner</w:t>
            </w:r>
          </w:p>
        </w:tc>
        <w:tc>
          <w:tcPr>
            <w:tcW w:type="dxa" w:w="3216"/>
            <w:shd w:val="clear" w:fill="14352A"/>
          </w:tcPr>
          <w:p>
            <w:pPr>
              <w:spacing w:before="40" w:after="40"/>
            </w:pPr>
            <w:r>
              <w:rPr>
                <w:b/>
                <w:i w:val="0"/>
                <w:color w:val="FFFFFF"/>
                <w:sz w:val="17"/>
              </w:rPr>
              <w:t>Why Operations cannot proceed without it</w:t>
            </w:r>
          </w:p>
        </w:tc>
      </w:tr>
      <w:tr>
        <w:tc>
          <w:tcPr>
            <w:tcW w:type="dxa" w:w="3216"/>
          </w:tcPr>
          <w:p>
            <w:pPr>
              <w:spacing w:before="40" w:after="40"/>
            </w:pPr>
            <w:r>
              <w:rPr>
                <w:b/>
                <w:i w:val="0"/>
                <w:sz w:val="17"/>
              </w:rPr>
              <w:t>Hedging capability</w:t>
            </w:r>
            <w:r>
              <w:rPr>
                <w:b w:val="0"/>
                <w:i w:val="0"/>
                <w:sz w:val="17"/>
              </w:rPr>
              <w:t xml:space="preserve"> (R-05, GC-05, DEP-06)</w:t>
            </w:r>
          </w:p>
        </w:tc>
        <w:tc>
          <w:tcPr>
            <w:tcW w:type="dxa" w:w="3216"/>
          </w:tcPr>
          <w:p>
            <w:pPr>
              <w:spacing w:before="40" w:after="40"/>
            </w:pPr>
            <w:r>
              <w:rPr>
                <w:b w:val="0"/>
                <w:i w:val="0"/>
                <w:sz w:val="17"/>
              </w:rPr>
              <w:t>M. Delacroix</w:t>
            </w:r>
          </w:p>
        </w:tc>
        <w:tc>
          <w:tcPr>
            <w:tcW w:type="dxa" w:w="3216"/>
          </w:tcPr>
          <w:p>
            <w:pPr>
              <w:spacing w:before="40" w:after="40"/>
            </w:pPr>
            <w:r>
              <w:rPr>
                <w:b w:val="0"/>
                <w:i w:val="0"/>
                <w:sz w:val="17"/>
              </w:rPr>
              <w:t>New business cannot open on a product the company cannot hedge. Documented ISDA capability is a pre-T-0 confirmation in §7.1, not a post-launch workstream.</w:t>
            </w:r>
          </w:p>
        </w:tc>
      </w:tr>
      <w:tr>
        <w:tc>
          <w:tcPr>
            <w:tcW w:type="dxa" w:w="3216"/>
          </w:tcPr>
          <w:p>
            <w:pPr>
              <w:spacing w:before="40" w:after="40"/>
            </w:pPr>
            <w:r>
              <w:rPr>
                <w:b/>
                <w:i w:val="0"/>
                <w:sz w:val="17"/>
              </w:rPr>
              <w:t>Contract form approval</w:t>
            </w:r>
            <w:r>
              <w:rPr>
                <w:b w:val="0"/>
                <w:i w:val="0"/>
                <w:sz w:val="17"/>
              </w:rPr>
              <w:t xml:space="preserve"> (I-05)</w:t>
            </w:r>
          </w:p>
        </w:tc>
        <w:tc>
          <w:tcPr>
            <w:tcW w:type="dxa" w:w="3216"/>
          </w:tcPr>
          <w:p>
            <w:pPr>
              <w:spacing w:before="40" w:after="40"/>
            </w:pPr>
            <w:r>
              <w:rPr>
                <w:b w:val="0"/>
                <w:i w:val="0"/>
                <w:sz w:val="17"/>
              </w:rPr>
              <w:t>Legal &amp; Compliance</w:t>
            </w:r>
          </w:p>
        </w:tc>
        <w:tc>
          <w:tcPr>
            <w:tcW w:type="dxa" w:w="3216"/>
          </w:tcPr>
          <w:p>
            <w:pPr>
              <w:spacing w:before="40" w:after="40"/>
            </w:pPr>
            <w:r>
              <w:rPr>
                <w:b w:val="0"/>
                <w:i w:val="0"/>
                <w:sz w:val="17"/>
              </w:rPr>
              <w:t>Forms govern contract assembly, correspondence and free-look disclosure. Training and template build cannot finalize ahead of them, which is what blocks OR-2.</w:t>
            </w:r>
          </w:p>
        </w:tc>
      </w:tr>
      <w:tr>
        <w:tc>
          <w:tcPr>
            <w:tcW w:type="dxa" w:w="3216"/>
          </w:tcPr>
          <w:p>
            <w:pPr>
              <w:spacing w:before="40" w:after="40"/>
            </w:pPr>
            <w:r>
              <w:rPr>
                <w:b/>
                <w:i w:val="0"/>
                <w:sz w:val="17"/>
              </w:rPr>
              <w:t>Producer certification volume</w:t>
            </w:r>
          </w:p>
        </w:tc>
        <w:tc>
          <w:tcPr>
            <w:tcW w:type="dxa" w:w="3216"/>
          </w:tcPr>
          <w:p>
            <w:pPr>
              <w:spacing w:before="40" w:after="40"/>
            </w:pPr>
            <w:r>
              <w:rPr>
                <w:b w:val="0"/>
                <w:i w:val="0"/>
                <w:sz w:val="17"/>
              </w:rPr>
              <w:t>R. Castellanos</w:t>
            </w:r>
          </w:p>
        </w:tc>
        <w:tc>
          <w:tcPr>
            <w:tcW w:type="dxa" w:w="3216"/>
          </w:tcPr>
          <w:p>
            <w:pPr>
              <w:spacing w:before="40" w:after="40"/>
            </w:pPr>
            <w:r>
              <w:rPr>
                <w:b w:val="0"/>
                <w:i w:val="0"/>
                <w:sz w:val="17"/>
              </w:rPr>
              <w:t>Determines actual day-one load and therefore which §3.1 triggers fire. Operations plans the response, not the volume.</w:t>
            </w:r>
          </w:p>
        </w:tc>
      </w:tr>
    </w:tbl>
    <w:p/>
    <w:p>
      <w:pPr>
        <w:spacing w:before="280" w:after="80"/>
      </w:pPr>
      <w:r>
        <w:rPr>
          <w:b/>
          <w:i w:val="0"/>
          <w:color w:val="14352A"/>
          <w:sz w:val="28"/>
        </w:rPr>
        <w:t>11. Risks, Issues &amp; Register Linkage</w:t>
      </w:r>
    </w:p>
    <w:p>
      <w:pPr>
        <w:spacing w:after="120"/>
      </w:pPr>
      <w:r>
        <w:rPr>
          <w:b w:val="0"/>
          <w:i w:val="0"/>
          <w:sz w:val="20"/>
        </w:rPr>
        <w:t>Entries below are held in the program RAIDD log and the Gate Conditions Register; they are reproduced here only where they bear directly on operational readiness. The register is authoritative for status.</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Description</w:t>
            </w:r>
          </w:p>
        </w:tc>
        <w:tc>
          <w:tcPr>
            <w:tcW w:type="dxa" w:w="1930"/>
            <w:shd w:val="clear" w:fill="14352A"/>
          </w:tcPr>
          <w:p>
            <w:pPr>
              <w:spacing w:before="40" w:after="40"/>
            </w:pPr>
            <w:r>
              <w:rPr>
                <w:b/>
                <w:i w:val="0"/>
                <w:color w:val="FFFFFF"/>
                <w:sz w:val="17"/>
              </w:rPr>
              <w:t>Owner</w:t>
            </w:r>
          </w:p>
        </w:tc>
        <w:tc>
          <w:tcPr>
            <w:tcW w:type="dxa" w:w="1930"/>
            <w:shd w:val="clear" w:fill="14352A"/>
          </w:tcPr>
          <w:p>
            <w:pPr>
              <w:spacing w:before="40" w:after="40"/>
            </w:pPr>
            <w:r>
              <w:rPr>
                <w:b/>
                <w:i w:val="0"/>
                <w:color w:val="FFFFFF"/>
                <w:sz w:val="17"/>
              </w:rPr>
              <w:t>Status</w:t>
            </w:r>
          </w:p>
        </w:tc>
        <w:tc>
          <w:tcPr>
            <w:tcW w:type="dxa" w:w="1930"/>
            <w:shd w:val="clear" w:fill="14352A"/>
          </w:tcPr>
          <w:p>
            <w:pPr>
              <w:spacing w:before="40" w:after="40"/>
            </w:pPr>
            <w:r>
              <w:rPr>
                <w:b/>
                <w:i w:val="0"/>
                <w:color w:val="FFFFFF"/>
                <w:sz w:val="17"/>
              </w:rPr>
              <w:t>Operational reading</w:t>
            </w:r>
          </w:p>
        </w:tc>
      </w:tr>
      <w:tr>
        <w:tc>
          <w:tcPr>
            <w:tcW w:type="dxa" w:w="1930"/>
          </w:tcPr>
          <w:p>
            <w:pPr>
              <w:spacing w:before="40" w:after="40"/>
            </w:pPr>
            <w:r>
              <w:rPr>
                <w:b/>
                <w:i w:val="0"/>
                <w:sz w:val="17"/>
              </w:rPr>
              <w:t>R-05</w:t>
            </w:r>
          </w:p>
        </w:tc>
        <w:tc>
          <w:tcPr>
            <w:tcW w:type="dxa" w:w="1930"/>
          </w:tcPr>
          <w:p>
            <w:pPr>
              <w:spacing w:before="40" w:after="40"/>
            </w:pPr>
            <w:r>
              <w:rPr>
                <w:b w:val="0"/>
                <w:i w:val="0"/>
                <w:sz w:val="17"/>
              </w:rPr>
              <w:t>Hedging readiness (ISDA, derivatives ops, daily rebalance) lags launch</w:t>
            </w:r>
          </w:p>
        </w:tc>
        <w:tc>
          <w:tcPr>
            <w:tcW w:type="dxa" w:w="1930"/>
          </w:tcPr>
          <w:p>
            <w:pPr>
              <w:spacing w:before="40" w:after="40"/>
            </w:pPr>
            <w:r>
              <w:rPr>
                <w:b w:val="0"/>
                <w:i w:val="0"/>
                <w:sz w:val="17"/>
              </w:rPr>
              <w:t>M. Delacroix</w:t>
            </w:r>
          </w:p>
        </w:tc>
        <w:tc>
          <w:tcPr>
            <w:tcW w:type="dxa" w:w="1930"/>
          </w:tcPr>
          <w:p>
            <w:pPr>
              <w:spacing w:before="40" w:after="40"/>
            </w:pPr>
            <w:r>
              <w:rPr>
                <w:b w:val="0"/>
                <w:i w:val="0"/>
                <w:sz w:val="17"/>
              </w:rPr>
              <w:t>Elevated — score 20</w:t>
            </w:r>
          </w:p>
        </w:tc>
        <w:tc>
          <w:tcPr>
            <w:tcW w:type="dxa" w:w="1930"/>
          </w:tcPr>
          <w:p>
            <w:pPr>
              <w:spacing w:before="40" w:after="40"/>
            </w:pPr>
            <w:r>
              <w:rPr>
                <w:b w:val="0"/>
                <w:i w:val="0"/>
                <w:sz w:val="17"/>
              </w:rPr>
              <w:t>Operations cannot open new business on a product the company cannot hedge. This is the largest single threat to the launch date and Operations does not own it.</w:t>
            </w:r>
          </w:p>
        </w:tc>
      </w:tr>
      <w:tr>
        <w:tc>
          <w:tcPr>
            <w:tcW w:type="dxa" w:w="1930"/>
          </w:tcPr>
          <w:p>
            <w:pPr>
              <w:spacing w:before="40" w:after="40"/>
            </w:pPr>
            <w:r>
              <w:rPr>
                <w:b/>
                <w:i w:val="0"/>
                <w:sz w:val="17"/>
              </w:rPr>
              <w:t>DEP-06</w:t>
            </w:r>
          </w:p>
        </w:tc>
        <w:tc>
          <w:tcPr>
            <w:tcW w:type="dxa" w:w="1930"/>
          </w:tcPr>
          <w:p>
            <w:pPr>
              <w:spacing w:before="40" w:after="40"/>
            </w:pPr>
            <w:r>
              <w:rPr>
                <w:b w:val="0"/>
                <w:i w:val="0"/>
                <w:sz w:val="17"/>
              </w:rPr>
              <w:t>Second ISDA counterparty — documentation not begun</w:t>
            </w:r>
          </w:p>
        </w:tc>
        <w:tc>
          <w:tcPr>
            <w:tcW w:type="dxa" w:w="1930"/>
          </w:tcPr>
          <w:p>
            <w:pPr>
              <w:spacing w:before="40" w:after="40"/>
            </w:pPr>
            <w:r>
              <w:rPr>
                <w:b w:val="0"/>
                <w:i w:val="0"/>
                <w:sz w:val="17"/>
              </w:rPr>
              <w:t>M. Delacroix</w:t>
            </w:r>
          </w:p>
        </w:tc>
        <w:tc>
          <w:tcPr>
            <w:tcW w:type="dxa" w:w="1930"/>
          </w:tcPr>
          <w:p>
            <w:pPr>
              <w:spacing w:before="40" w:after="40"/>
            </w:pPr>
            <w:r>
              <w:rPr>
                <w:b w:val="0"/>
                <w:i w:val="0"/>
                <w:sz w:val="17"/>
              </w:rPr>
              <w:t>At risk</w:t>
            </w:r>
          </w:p>
        </w:tc>
        <w:tc>
          <w:tcPr>
            <w:tcW w:type="dxa" w:w="1930"/>
          </w:tcPr>
          <w:p>
            <w:pPr>
              <w:spacing w:before="40" w:after="40"/>
            </w:pPr>
            <w:r>
              <w:rPr>
                <w:b w:val="0"/>
                <w:i w:val="0"/>
                <w:sz w:val="17"/>
              </w:rPr>
              <w:t>Feeds R-05 and GC-05. Until executed, hedging operations run single-counterparty, which is a concentration the Investments desk has not accepted for steady state.</w:t>
            </w:r>
          </w:p>
        </w:tc>
      </w:tr>
      <w:tr>
        <w:tc>
          <w:tcPr>
            <w:tcW w:type="dxa" w:w="1930"/>
          </w:tcPr>
          <w:p>
            <w:pPr>
              <w:spacing w:before="40" w:after="40"/>
            </w:pPr>
            <w:r>
              <w:rPr>
                <w:b/>
                <w:i w:val="0"/>
                <w:sz w:val="17"/>
              </w:rPr>
              <w:t>GC-05</w:t>
            </w:r>
          </w:p>
        </w:tc>
        <w:tc>
          <w:tcPr>
            <w:tcW w:type="dxa" w:w="1930"/>
          </w:tcPr>
          <w:p>
            <w:pPr>
              <w:spacing w:before="40" w:after="40"/>
            </w:pPr>
            <w:r>
              <w:rPr>
                <w:b w:val="0"/>
                <w:i w:val="0"/>
                <w:sz w:val="17"/>
              </w:rPr>
              <w:t>Present a hedging readiness plan with ISDA execution milestones at Gate 2</w:t>
            </w:r>
          </w:p>
        </w:tc>
        <w:tc>
          <w:tcPr>
            <w:tcW w:type="dxa" w:w="1930"/>
          </w:tcPr>
          <w:p>
            <w:pPr>
              <w:spacing w:before="40" w:after="40"/>
            </w:pPr>
            <w:r>
              <w:rPr>
                <w:b w:val="0"/>
                <w:i w:val="0"/>
                <w:sz w:val="17"/>
              </w:rPr>
              <w:t>M. Delacroix</w:t>
            </w:r>
          </w:p>
        </w:tc>
        <w:tc>
          <w:tcPr>
            <w:tcW w:type="dxa" w:w="1930"/>
          </w:tcPr>
          <w:p>
            <w:pPr>
              <w:spacing w:before="40" w:after="40"/>
            </w:pPr>
            <w:r>
              <w:rPr>
                <w:b w:val="0"/>
                <w:i w:val="0"/>
                <w:sz w:val="17"/>
              </w:rPr>
              <w:t>Open condition</w:t>
            </w:r>
          </w:p>
        </w:tc>
        <w:tc>
          <w:tcPr>
            <w:tcW w:type="dxa" w:w="1930"/>
          </w:tcPr>
          <w:p>
            <w:pPr>
              <w:spacing w:before="40" w:after="40"/>
            </w:pPr>
            <w:r>
              <w:rPr>
                <w:b w:val="0"/>
                <w:i w:val="0"/>
                <w:sz w:val="17"/>
              </w:rPr>
              <w:t>The condition is a Gate 2 obligation, but its subject matter is a Gate 4 readiness dependency. Operations should read the Gate 2 answer as a launch signal.</w:t>
            </w:r>
          </w:p>
        </w:tc>
      </w:tr>
      <w:tr>
        <w:tc>
          <w:tcPr>
            <w:tcW w:type="dxa" w:w="1930"/>
          </w:tcPr>
          <w:p>
            <w:pPr>
              <w:spacing w:before="40" w:after="40"/>
            </w:pPr>
            <w:r>
              <w:rPr>
                <w:b/>
                <w:i w:val="0"/>
                <w:sz w:val="17"/>
              </w:rPr>
              <w:t>I-05</w:t>
            </w:r>
          </w:p>
        </w:tc>
        <w:tc>
          <w:tcPr>
            <w:tcW w:type="dxa" w:w="1930"/>
          </w:tcPr>
          <w:p>
            <w:pPr>
              <w:spacing w:before="40" w:after="40"/>
            </w:pPr>
            <w:r>
              <w:rPr>
                <w:b w:val="0"/>
                <w:i w:val="0"/>
                <w:sz w:val="17"/>
              </w:rPr>
              <w:t>GLWB contract form language returned twice by outside counsel</w:t>
            </w:r>
          </w:p>
        </w:tc>
        <w:tc>
          <w:tcPr>
            <w:tcW w:type="dxa" w:w="1930"/>
          </w:tcPr>
          <w:p>
            <w:pPr>
              <w:spacing w:before="40" w:after="40"/>
            </w:pPr>
            <w:r>
              <w:rPr>
                <w:b w:val="0"/>
                <w:i w:val="0"/>
                <w:sz w:val="17"/>
              </w:rPr>
              <w:t>Legal &amp; Compliance</w:t>
            </w:r>
          </w:p>
        </w:tc>
        <w:tc>
          <w:tcPr>
            <w:tcW w:type="dxa" w:w="1930"/>
          </w:tcPr>
          <w:p>
            <w:pPr>
              <w:spacing w:before="40" w:after="40"/>
            </w:pPr>
            <w:r>
              <w:rPr>
                <w:b w:val="0"/>
                <w:i w:val="0"/>
                <w:sz w:val="17"/>
              </w:rPr>
              <w:t>Open issue</w:t>
            </w:r>
          </w:p>
        </w:tc>
        <w:tc>
          <w:tcPr>
            <w:tcW w:type="dxa" w:w="1930"/>
          </w:tcPr>
          <w:p>
            <w:pPr>
              <w:spacing w:before="40" w:after="40"/>
            </w:pPr>
            <w:r>
              <w:rPr>
                <w:b w:val="0"/>
                <w:i w:val="0"/>
                <w:sz w:val="17"/>
              </w:rPr>
              <w:t>Upstream of everything here. Training on an unapproved form is training that may have to be repeated, so OR-2 cannot close until forms clear.</w:t>
            </w:r>
          </w:p>
        </w:tc>
      </w:tr>
      <w:tr>
        <w:tc>
          <w:tcPr>
            <w:tcW w:type="dxa" w:w="1930"/>
          </w:tcPr>
          <w:p>
            <w:pPr>
              <w:spacing w:before="40" w:after="40"/>
            </w:pPr>
            <w:r>
              <w:rPr>
                <w:b/>
                <w:i w:val="0"/>
                <w:sz w:val="17"/>
              </w:rPr>
              <w:t>I-06</w:t>
            </w:r>
          </w:p>
        </w:tc>
        <w:tc>
          <w:tcPr>
            <w:tcW w:type="dxa" w:w="1930"/>
          </w:tcPr>
          <w:p>
            <w:pPr>
              <w:spacing w:before="40" w:after="40"/>
            </w:pPr>
            <w:r>
              <w:rPr>
                <w:b w:val="0"/>
                <w:i w:val="0"/>
                <w:sz w:val="17"/>
              </w:rPr>
              <w:t>Plan assumed 6 field wholesalers; Distribution can commit 4</w:t>
            </w:r>
          </w:p>
        </w:tc>
        <w:tc>
          <w:tcPr>
            <w:tcW w:type="dxa" w:w="1930"/>
          </w:tcPr>
          <w:p>
            <w:pPr>
              <w:spacing w:before="40" w:after="40"/>
            </w:pPr>
            <w:r>
              <w:rPr>
                <w:b w:val="0"/>
                <w:i w:val="0"/>
                <w:sz w:val="17"/>
              </w:rPr>
              <w:t>R. Castellanos</w:t>
            </w:r>
          </w:p>
        </w:tc>
        <w:tc>
          <w:tcPr>
            <w:tcW w:type="dxa" w:w="1930"/>
          </w:tcPr>
          <w:p>
            <w:pPr>
              <w:spacing w:before="40" w:after="40"/>
            </w:pPr>
            <w:r>
              <w:rPr>
                <w:b w:val="0"/>
                <w:i w:val="0"/>
                <w:sz w:val="17"/>
              </w:rPr>
              <w:t>Open issue</w:t>
            </w:r>
          </w:p>
        </w:tc>
        <w:tc>
          <w:tcPr>
            <w:tcW w:type="dxa" w:w="1930"/>
          </w:tcPr>
          <w:p>
            <w:pPr>
              <w:spacing w:before="40" w:after="40"/>
            </w:pPr>
            <w:r>
              <w:rPr>
                <w:b w:val="0"/>
                <w:i w:val="0"/>
                <w:sz w:val="17"/>
              </w:rPr>
              <w:t>Reduces the probability of hitting projected volume, which cuts both ways: it lowers day-one operational load and raises the risk of staffing to a volume that never arrives.</w:t>
            </w:r>
          </w:p>
        </w:tc>
      </w:tr>
      <w:tr>
        <w:tc>
          <w:tcPr>
            <w:tcW w:type="dxa" w:w="1930"/>
          </w:tcPr>
          <w:p>
            <w:pPr>
              <w:spacing w:before="40" w:after="40"/>
            </w:pPr>
            <w:r>
              <w:rPr>
                <w:b/>
                <w:i w:val="0"/>
                <w:sz w:val="17"/>
              </w:rPr>
              <w:t>R-12</w:t>
            </w:r>
          </w:p>
        </w:tc>
        <w:tc>
          <w:tcPr>
            <w:tcW w:type="dxa" w:w="1930"/>
          </w:tcPr>
          <w:p>
            <w:pPr>
              <w:spacing w:before="40" w:after="40"/>
            </w:pPr>
            <w:r>
              <w:rPr>
                <w:b w:val="0"/>
                <w:i w:val="0"/>
                <w:sz w:val="17"/>
              </w:rPr>
              <w:t>Post-launch sales concentrate in one crediting strategy</w:t>
            </w:r>
          </w:p>
        </w:tc>
        <w:tc>
          <w:tcPr>
            <w:tcW w:type="dxa" w:w="1930"/>
          </w:tcPr>
          <w:p>
            <w:pPr>
              <w:spacing w:before="40" w:after="40"/>
            </w:pPr>
            <w:r>
              <w:rPr>
                <w:b w:val="0"/>
                <w:i w:val="0"/>
                <w:sz w:val="17"/>
              </w:rPr>
              <w:t>M. Delacroix</w:t>
            </w:r>
          </w:p>
        </w:tc>
        <w:tc>
          <w:tcPr>
            <w:tcW w:type="dxa" w:w="1930"/>
          </w:tcPr>
          <w:p>
            <w:pPr>
              <w:spacing w:before="40" w:after="40"/>
            </w:pPr>
            <w:r>
              <w:rPr>
                <w:b w:val="0"/>
                <w:i w:val="0"/>
                <w:sz w:val="17"/>
              </w:rPr>
              <w:t>Score 9</w:t>
            </w:r>
          </w:p>
        </w:tc>
        <w:tc>
          <w:tcPr>
            <w:tcW w:type="dxa" w:w="1930"/>
          </w:tcPr>
          <w:p>
            <w:pPr>
              <w:spacing w:before="40" w:after="40"/>
            </w:pPr>
            <w:r>
              <w:rPr>
                <w:b w:val="0"/>
                <w:i w:val="0"/>
                <w:sz w:val="17"/>
              </w:rPr>
              <w:t>An operational tell as much as a hedging one: the first hundred policies will show it, and Operations sees them before the hedging desk does.</w:t>
            </w:r>
          </w:p>
        </w:tc>
      </w:tr>
    </w:tbl>
    <w:p/>
    <w:p>
      <w:pPr>
        <w:spacing w:before="280" w:after="80"/>
      </w:pPr>
      <w:r>
        <w:rPr>
          <w:b/>
          <w:i w:val="0"/>
          <w:color w:val="14352A"/>
          <w:sz w:val="28"/>
        </w:rPr>
        <w:t>12. Governance, Ownership &amp; Document Control</w:t>
      </w:r>
    </w:p>
    <w:p>
      <w:pPr>
        <w:spacing w:before="200" w:after="80"/>
      </w:pPr>
      <w:r>
        <w:rPr>
          <w:b/>
          <w:i w:val="0"/>
          <w:color w:val="14352A"/>
          <w:sz w:val="24"/>
        </w:rPr>
        <w:t>12.1 Reporting and decision rights</w:t>
      </w:r>
    </w:p>
    <w:p>
      <w:pPr>
        <w:pStyle w:val="ListBullet"/>
        <w:spacing w:after="60"/>
      </w:pPr>
      <w:r>
        <w:rPr>
          <w:b/>
          <w:i w:val="0"/>
          <w:sz w:val="20"/>
        </w:rPr>
        <w:t>Operational readiness status</w:t>
      </w:r>
      <w:r>
        <w:rPr>
          <w:b w:val="0"/>
          <w:i w:val="0"/>
          <w:sz w:val="20"/>
        </w:rPr>
        <w:t xml:space="preserve"> reports weekly to the Program Management Office from 07 December 2027 (T-90), and daily from T-11.</w:t>
      </w:r>
    </w:p>
    <w:p>
      <w:pPr>
        <w:pStyle w:val="ListBullet"/>
        <w:spacing w:after="60"/>
      </w:pPr>
      <w:r>
        <w:rPr>
          <w:b/>
          <w:i w:val="0"/>
          <w:sz w:val="20"/>
        </w:rPr>
        <w:t>The operations go / no-go input</w:t>
      </w:r>
      <w:r>
        <w:rPr>
          <w:b w:val="0"/>
          <w:i w:val="0"/>
          <w:sz w:val="20"/>
        </w:rPr>
        <w:t xml:space="preserve"> is given by L. Marchand and is a single documented recommendation with reasons, not a status colour.</w:t>
      </w:r>
    </w:p>
    <w:p>
      <w:pPr>
        <w:pStyle w:val="ListBullet"/>
        <w:spacing w:after="60"/>
      </w:pPr>
      <w:r>
        <w:rPr>
          <w:b/>
          <w:i w:val="0"/>
          <w:sz w:val="20"/>
        </w:rPr>
        <w:t>Cutover execution decisions</w:t>
      </w:r>
      <w:r>
        <w:rPr>
          <w:b w:val="0"/>
          <w:i w:val="0"/>
          <w:sz w:val="20"/>
        </w:rPr>
        <w:t xml:space="preserve"> inside the T-4 to T-0 window rest with V. Sandoval, escalating to the program manager for anything that would delay T-0.</w:t>
      </w:r>
    </w:p>
    <w:p>
      <w:pPr>
        <w:pStyle w:val="ListBullet"/>
        <w:spacing w:after="60"/>
      </w:pPr>
      <w:r>
        <w:rPr>
          <w:b/>
          <w:i w:val="0"/>
          <w:sz w:val="20"/>
        </w:rPr>
        <w:t>Hypercare exit</w:t>
      </w:r>
      <w:r>
        <w:rPr>
          <w:b w:val="0"/>
          <w:i w:val="0"/>
          <w:sz w:val="20"/>
        </w:rPr>
        <w:t xml:space="preserve"> is decided by the receiving operational managers per §8.3, not by the program or the vendor.</w:t>
      </w:r>
    </w:p>
    <w:p>
      <w:pPr>
        <w:spacing w:before="200" w:after="80"/>
      </w:pPr>
      <w:r>
        <w:rPr>
          <w:b/>
          <w:i w:val="0"/>
          <w:color w:val="14352A"/>
          <w:sz w:val="24"/>
        </w:rPr>
        <w:t>12.2 Related documents</w:t>
      </w:r>
    </w:p>
    <w:p>
      <w:pPr>
        <w:pStyle w:val="ListBullet"/>
        <w:spacing w:after="60"/>
      </w:pPr>
      <w:r>
        <w:rPr>
          <w:b/>
          <w:i w:val="0"/>
          <w:sz w:val="20"/>
        </w:rPr>
        <w:t>Launch Readiness Criteria</w:t>
      </w:r>
      <w:r>
        <w:rPr>
          <w:b w:val="0"/>
          <w:i w:val="0"/>
          <w:sz w:val="20"/>
        </w:rPr>
        <w:t xml:space="preserve"> — owns the go / no-go framework; this plan supplies operational evidence into it.</w:t>
      </w:r>
    </w:p>
    <w:p>
      <w:pPr>
        <w:pStyle w:val="ListBullet"/>
        <w:spacing w:after="60"/>
      </w:pPr>
      <w:r>
        <w:rPr>
          <w:b/>
          <w:i w:val="0"/>
          <w:sz w:val="20"/>
        </w:rPr>
        <w:t>Master Test &amp; Validation Strategy</w:t>
      </w:r>
      <w:r>
        <w:rPr>
          <w:b w:val="0"/>
          <w:i w:val="0"/>
          <w:sz w:val="20"/>
        </w:rPr>
        <w:t xml:space="preserve"> — source of the Severity-2 workaround rule inherited in §9.2 and of the filing-governs rule applied in §6.1.</w:t>
      </w:r>
    </w:p>
    <w:p>
      <w:pPr>
        <w:pStyle w:val="ListBullet"/>
        <w:spacing w:after="60"/>
      </w:pPr>
      <w:r>
        <w:rPr>
          <w:b/>
          <w:i w:val="0"/>
          <w:sz w:val="20"/>
        </w:rPr>
        <w:t>Vendor Management Plan</w:t>
      </w:r>
      <w:r>
        <w:rPr>
          <w:b w:val="0"/>
          <w:i w:val="0"/>
          <w:sz w:val="20"/>
        </w:rPr>
        <w:t xml:space="preserve"> — explains the gate-authorized contracting model that produces the WP-3 timing discussed in §8.1.</w:t>
      </w:r>
    </w:p>
    <w:p>
      <w:pPr>
        <w:pStyle w:val="ListBullet"/>
        <w:spacing w:after="60"/>
      </w:pPr>
      <w:r>
        <w:rPr>
          <w:b/>
          <w:i w:val="0"/>
          <w:sz w:val="20"/>
        </w:rPr>
        <w:t>Distribution &amp; Advisor Enablement Plan</w:t>
      </w:r>
      <w:r>
        <w:rPr>
          <w:b w:val="0"/>
          <w:i w:val="0"/>
          <w:sz w:val="20"/>
        </w:rPr>
        <w:t xml:space="preserve"> — produces the producer volume this plan absorbs; shares the I-06 coverage position.</w:t>
      </w:r>
    </w:p>
    <w:p>
      <w:pPr>
        <w:pStyle w:val="ListBullet"/>
        <w:spacing w:after="60"/>
      </w:pPr>
      <w:r>
        <w:rPr>
          <w:b/>
          <w:i w:val="0"/>
          <w:sz w:val="20"/>
        </w:rPr>
        <w:t>Gate Conditions Register</w:t>
      </w:r>
      <w:r>
        <w:rPr>
          <w:b w:val="0"/>
          <w:i w:val="0"/>
          <w:sz w:val="20"/>
        </w:rPr>
        <w:t xml:space="preserve"> — authoritative for GC-05 and its Gate 2 obligation.</w:t>
      </w:r>
    </w:p>
    <w:p>
      <w:pPr>
        <w:spacing w:before="200" w:after="80"/>
      </w:pPr>
      <w:r>
        <w:rPr>
          <w:b/>
          <w:i w:val="0"/>
          <w:color w:val="14352A"/>
          <w:sz w:val="24"/>
        </w:rPr>
        <w:t>12.3 Version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16 Oct 2026</w:t>
            </w:r>
          </w:p>
        </w:tc>
        <w:tc>
          <w:tcPr>
            <w:tcW w:type="dxa" w:w="3216"/>
          </w:tcPr>
          <w:p>
            <w:pPr>
              <w:spacing w:before="40" w:after="40"/>
            </w:pPr>
            <w:r>
              <w:rPr>
                <w:b w:val="0"/>
                <w:i w:val="0"/>
                <w:sz w:val="17"/>
              </w:rPr>
              <w:t>Initial plan issued. Establishes the point-of-no-return model, the trigger-based day-one operating model, the suitability capacity finding (OR-3), the WP-3 hypercare funding sequence, and the workaround-liability finding (OR-5).</w:t>
            </w:r>
          </w:p>
        </w:tc>
      </w:tr>
    </w:tbl>
    <w:p/>
    <w:p>
      <w:pPr>
        <w:spacing w:after="120"/>
      </w:pPr>
      <w:r>
        <w:rPr>
          <w:b/>
          <w:i w:val="0"/>
          <w:sz w:val="20"/>
        </w:rPr>
        <w:t>Prepared by</w:t>
      </w:r>
      <w:r>
        <w:rPr>
          <w:b w:val="0"/>
          <w:i w:val="0"/>
          <w:sz w:val="20"/>
        </w:rPr>
        <w:t xml:space="preserve"> the Program Management Office, Lighthouse Financial Services Company. </w:t>
      </w:r>
      <w:r>
        <w:rPr>
          <w:b/>
          <w:i w:val="0"/>
          <w:sz w:val="20"/>
        </w:rPr>
        <w:t>Owning executive:</w:t>
      </w:r>
      <w:r>
        <w:rPr>
          <w:b w:val="0"/>
          <w:i w:val="0"/>
          <w:sz w:val="20"/>
        </w:rPr>
        <w:t xml:space="preserve"> L. Marchand, Director, Annuity Operations. </w:t>
      </w:r>
      <w:r>
        <w:rPr>
          <w:b/>
          <w:i w:val="0"/>
          <w:sz w:val="20"/>
        </w:rPr>
        <w:t>Platform cutover lead:</w:t>
      </w:r>
      <w:r>
        <w:rPr>
          <w:b w:val="0"/>
          <w:i w:val="0"/>
          <w:sz w:val="20"/>
        </w:rPr>
        <w:t xml:space="preserve"> V. Sandoval. Status date 16 October 2026.</w:t>
      </w:r>
    </w:p>
    <w:p/>
    <w:p>
      <w:pPr>
        <w:jc w:val="left"/>
      </w:pPr>
      <w:r>
        <w:rPr>
          <w:color w:val="5B6472"/>
          <w:sz w:val="15"/>
        </w:rPr>
        <w:t>Lighthouse Financial Services Company — Beacon Index Advantage product development program. Operations Readiness &amp; Cutover</w:t>
        <w:br/>
        <w:t>Plan, version 1.0. Cutover anchors are derived from the launch date and move with it. This is a</w:t>
        <w:br/>
        <w:t>portfolio demonstration artifact.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