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5B6472"/>
          <w:sz w:val="18"/>
        </w:rPr>
        <w:t>Lighthouse Financial Services Company</w:t>
      </w:r>
    </w:p>
    <w:p>
      <w:r>
        <w:rPr>
          <w:b/>
          <w:color w:val="14352A"/>
          <w:sz w:val="34"/>
        </w:rPr>
        <w:t>Prior Concept Cancellation Record — Harborline Buffer Series</w:t>
      </w:r>
    </w:p>
    <w:p>
      <w:r>
        <w:rPr>
          <w:color w:val="1E5945"/>
          <w:sz w:val="18"/>
        </w:rPr>
        <w:t>Closed Programme · Cancelled at Gate 1</w:t>
      </w:r>
    </w:p>
    <w:p/>
    <w:p>
      <w:pPr>
        <w:spacing w:after="120"/>
      </w:pPr>
      <w:r>
        <w:rPr>
          <w:b w:val="0"/>
          <w:i w:val="0"/>
          <w:sz w:val="20"/>
        </w:rPr>
        <w:t>Cancelled 07 August 2025</w:t>
      </w:r>
    </w:p>
    <w:p>
      <w:pPr>
        <w:spacing w:after="120"/>
      </w:pPr>
      <w:r>
        <w:rPr>
          <w:b/>
          <w:i w:val="0"/>
          <w:sz w:val="20"/>
        </w:rPr>
        <w:t>Lighthouse Financial Services Company</w:t>
      </w:r>
      <w:r>
        <w:rPr>
          <w:b w:val="0"/>
          <w:i w:val="0"/>
          <w:sz w:val="20"/>
        </w:rPr>
        <w:t xml:space="preserve"> — The record of a product development programme this Gate Review Board cancelled. The </w:t>
      </w:r>
      <w:r>
        <w:rPr>
          <w:b/>
          <w:i w:val="0"/>
          <w:sz w:val="20"/>
        </w:rPr>
        <w:t>Harborline Buffer Series</w:t>
      </w:r>
      <w:r>
        <w:rPr>
          <w:b w:val="0"/>
          <w:i w:val="0"/>
          <w:sz w:val="20"/>
        </w:rPr>
        <w:t xml:space="preserve">, a registered index-linked annuity concept, passed Gate 0 in March 2025 and was </w:t>
      </w:r>
      <w:r>
        <w:rPr>
          <w:b/>
          <w:i w:val="0"/>
          <w:sz w:val="20"/>
        </w:rPr>
        <w:t>stopped at Gate 1</w:t>
      </w:r>
      <w:r>
        <w:rPr>
          <w:b w:val="0"/>
          <w:i w:val="0"/>
          <w:sz w:val="20"/>
        </w:rPr>
        <w:t xml:space="preserve"> on 07 August 2025. This document records the grounds, the vote, the execution of the cancellation protocol and the final accounting. It exists because a governance record containing only approvals is a record of nothing.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fill="FBEAE8"/>
          </w:tcPr>
          <w:p>
            <w:pPr>
              <w:spacing w:after="120"/>
            </w:pPr>
            <w:r>
              <w:rPr>
                <w:b/>
                <w:i w:val="0"/>
                <w:sz w:val="20"/>
              </w:rPr>
              <w:t>This is a separate, closed programme.</w:t>
            </w:r>
            <w:r>
              <w:rPr>
                <w:b w:val="0"/>
                <w:i w:val="0"/>
                <w:sz w:val="20"/>
              </w:rPr>
              <w:t xml:space="preserve"> Every figure in this document belongs to Harborline. None of it is part of, netted against, or rolled up into the Beacon Index Advantage programme. The two programmes share a board, a chair and a lesson — they share no funding, no schedule and no team. See §7. 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Programme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/>
                <w:i w:val="0"/>
                <w:sz w:val="17"/>
              </w:rPr>
              <w:t>Harborline Buffer Series</w:t>
            </w:r>
            <w:r>
              <w:rPr>
                <w:b w:val="0"/>
                <w:i w:val="0"/>
                <w:sz w:val="17"/>
              </w:rPr>
              <w:t xml:space="preserve"> — registered index-linked annuity (RILA) concept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Gate 0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 xml:space="preserve">06 March 2025 — </w:t>
            </w:r>
            <w:r>
              <w:rPr>
                <w:b/>
                <w:i w:val="0"/>
                <w:sz w:val="17"/>
              </w:rPr>
              <w:t>GO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Gate 1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 xml:space="preserve">07 August 2025 — </w:t>
            </w:r>
            <w:r>
              <w:rPr>
                <w:b/>
                <w:i w:val="0"/>
                <w:sz w:val="17"/>
              </w:rPr>
              <w:t>CANCEL</w:t>
            </w:r>
            <w:r>
              <w:rPr>
                <w:b w:val="0"/>
                <w:i w:val="0"/>
                <w:sz w:val="17"/>
              </w:rPr>
              <w:t>, carried 1-4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Funding released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$1,140,000 (Stage 1 only)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Funding spent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$868,000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Returned to capital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/>
                <w:i w:val="0"/>
                <w:sz w:val="17"/>
              </w:rPr>
              <w:t>$272,000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Final accounting filed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04 September 2025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Chair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C. Tyrrell, NPD Programme Manager (non-voting)</w:t>
            </w:r>
          </w:p>
        </w:tc>
      </w:tr>
    </w:tbl>
    <w:p/>
    <w:p>
      <w:pPr>
        <w:spacing w:before="280" w:after="80"/>
      </w:pPr>
      <w:r>
        <w:rPr>
          <w:b/>
          <w:i w:val="0"/>
          <w:color w:val="14352A"/>
          <w:sz w:val="28"/>
        </w:rPr>
        <w:t>1. The concept</w:t>
      </w:r>
    </w:p>
    <w:p>
      <w:pPr>
        <w:spacing w:after="120"/>
      </w:pPr>
      <w:r>
        <w:rPr>
          <w:b w:val="0"/>
          <w:i w:val="0"/>
          <w:sz w:val="20"/>
        </w:rPr>
        <w:t xml:space="preserve">Harborline was a </w:t>
      </w:r>
      <w:r>
        <w:rPr>
          <w:b/>
          <w:i w:val="0"/>
          <w:sz w:val="20"/>
        </w:rPr>
        <w:t>registered</w:t>
      </w:r>
      <w:r>
        <w:rPr>
          <w:b w:val="0"/>
          <w:i w:val="0"/>
          <w:sz w:val="20"/>
        </w:rPr>
        <w:t xml:space="preserve"> index-linked annuity: a contract crediting index-linked interest with a defined buffer absorbing a first tranche of index loss, and the contract owner exposed to loss beyond it. That downside participation is what makes a RILA a registered product. It brings the contract inside securities registration and brings its distribution inside broker-dealer licensing.</w:t>
      </w:r>
    </w:p>
    <w:p>
      <w:pPr>
        <w:spacing w:after="120"/>
      </w:pPr>
      <w:r>
        <w:rPr>
          <w:b w:val="0"/>
          <w:i w:val="0"/>
          <w:sz w:val="20"/>
        </w:rPr>
        <w:t>The strategic case was straightforward and, on the demand side, correct: RILA sales across the industry were growing faster than fixed indexed annuity sales, the carrier had no participant in that segment, and distribution partners were asking for one.</w:t>
      </w:r>
    </w:p>
    <w:p>
      <w:pPr>
        <w:spacing w:before="280" w:after="80"/>
      </w:pPr>
      <w:r>
        <w:rPr>
          <w:b/>
          <w:i w:val="0"/>
          <w:color w:val="14352A"/>
          <w:sz w:val="28"/>
        </w:rPr>
        <w:t>2. Why it was stopped</w:t>
      </w:r>
    </w:p>
    <w:p>
      <w:pPr>
        <w:spacing w:after="120"/>
      </w:pPr>
      <w:r>
        <w:rPr>
          <w:b w:val="0"/>
          <w:i w:val="0"/>
          <w:sz w:val="20"/>
        </w:rPr>
        <w:t>Three grounds were recorded. The first two are causes; the third is their consequence.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fill="FBEAE8"/>
          </w:tcPr>
          <w:p>
            <w:pPr>
              <w:spacing w:before="200" w:after="80"/>
            </w:pPr>
            <w:r>
              <w:rPr>
                <w:b/>
                <w:i w:val="0"/>
                <w:color w:val="14352A"/>
                <w:sz w:val="24"/>
              </w:rPr>
              <w:t>Ground 1 — The registration and distribution burden was not carried by the case</w:t>
            </w:r>
          </w:p>
          <w:p>
            <w:pPr>
              <w:spacing w:after="120"/>
            </w:pPr>
            <w:r>
              <w:rPr>
                <w:b w:val="0"/>
                <w:i w:val="0"/>
                <w:sz w:val="20"/>
              </w:rPr>
              <w:t>A registered product requires securities registration, prospectus delivery, and distribution through broker-dealer channels with licensing and supervision obligations the carrier's existing independent-agent distribution does not carry. Stage 1 costed that burden properly for the first time — which is what Stage 1 is for — and it was materially larger in both cost and elapsed time than the Gate 0 screening had assumed.</w:t>
            </w:r>
          </w:p>
          <w:p>
            <w:pPr>
              <w:spacing w:after="120"/>
            </w:pPr>
            <w:r>
              <w:rPr>
                <w:b w:val="0"/>
                <w:i w:val="0"/>
                <w:sz w:val="20"/>
              </w:rPr>
              <w:t xml:space="preserve">The Gate 0 assessment had scored feasibility on the carrier's ability to </w:t>
            </w:r>
            <w:r>
              <w:rPr>
                <w:b w:val="0"/>
                <w:i/>
                <w:sz w:val="20"/>
              </w:rPr>
              <w:t>build</w:t>
            </w:r>
            <w:r>
              <w:rPr>
                <w:b w:val="0"/>
                <w:i w:val="0"/>
                <w:sz w:val="20"/>
              </w:rPr>
              <w:t xml:space="preserve"> the product. It had not adequately weighted the carrier's ability to </w:t>
            </w:r>
            <w:r>
              <w:rPr>
                <w:b w:val="0"/>
                <w:i/>
                <w:sz w:val="20"/>
              </w:rPr>
              <w:t>distribute</w:t>
            </w:r>
            <w:r>
              <w:rPr>
                <w:b w:val="0"/>
                <w:i w:val="0"/>
                <w:sz w:val="20"/>
              </w:rPr>
              <w:t xml:space="preserve"> one through a channel it did not operate in.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fill="FBEAE8"/>
          </w:tcPr>
          <w:p>
            <w:pPr>
              <w:spacing w:before="200" w:after="80"/>
            </w:pPr>
            <w:r>
              <w:rPr>
                <w:b/>
                <w:i w:val="0"/>
                <w:color w:val="14352A"/>
                <w:sz w:val="24"/>
              </w:rPr>
              <w:t>Ground 2 — The buffered structure exceeded in-house hedging capability</w:t>
            </w:r>
          </w:p>
          <w:p>
            <w:pPr>
              <w:spacing w:after="120"/>
            </w:pPr>
            <w:r>
              <w:rPr>
                <w:b w:val="0"/>
                <w:i w:val="0"/>
                <w:sz w:val="20"/>
              </w:rPr>
              <w:t>Hedging a buffer requires an options strategy materially different from the capped-upside structures the Investments desk runs against the existing annuity block. The assessment concluded the capability could be acquired, but only by outsourcing execution — which contradicted the carrier's ALM operating model and added recurring cost to a product whose margin was already under pressure from Ground 1.</w:t>
            </w:r>
          </w:p>
          <w:p>
            <w:pPr>
              <w:spacing w:after="120"/>
            </w:pPr>
            <w:r>
              <w:rPr>
                <w:b w:val="0"/>
                <w:i w:val="0"/>
                <w:sz w:val="20"/>
              </w:rPr>
              <w:t xml:space="preserve">Recorded at the time: </w:t>
            </w:r>
            <w:r>
              <w:rPr>
                <w:b w:val="0"/>
                <w:i/>
                <w:sz w:val="20"/>
              </w:rPr>
              <w:t>a guarantee the organisation cannot hedge with its own hands is a guarantee it does not fully control.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fill="FBEAE8"/>
          </w:tcPr>
          <w:p>
            <w:pPr>
              <w:spacing w:before="200" w:after="80"/>
            </w:pPr>
            <w:r>
              <w:rPr>
                <w:b/>
                <w:i w:val="0"/>
                <w:color w:val="14352A"/>
                <w:sz w:val="24"/>
              </w:rPr>
              <w:t>Ground 3 — Under Grounds 1 and 2 the product did not clear the hurdle</w:t>
            </w:r>
          </w:p>
          <w:p>
            <w:pPr>
              <w:spacing w:after="120"/>
            </w:pPr>
            <w:r>
              <w:rPr>
                <w:b w:val="0"/>
                <w:i w:val="0"/>
                <w:sz w:val="20"/>
              </w:rPr>
              <w:t>Loaded with the registration and distribution costs and the outsourced hedging cost, the projected return fell below the carrier's hurdle rate. No repriced structure tested during Stage 1 cleared it while remaining competitive on buffer level and cap.</w:t>
            </w:r>
          </w:p>
          <w:p>
            <w:pPr>
              <w:spacing w:after="120"/>
            </w:pPr>
            <w:r>
              <w:rPr>
                <w:b w:val="0"/>
                <w:i w:val="0"/>
                <w:sz w:val="20"/>
              </w:rPr>
              <w:t>The Board did not treat this as a pricing problem to be solved in Stage 2. It treated it as the arithmetic consequence of two structural facts that Stage 2 spending would not change.</w:t>
            </w:r>
          </w:p>
        </w:tc>
      </w:tr>
    </w:tbl>
    <w:p/>
    <w:p>
      <w:pPr>
        <w:spacing w:before="280" w:after="80"/>
      </w:pPr>
      <w:r>
        <w:rPr>
          <w:b/>
          <w:i w:val="0"/>
          <w:color w:val="14352A"/>
          <w:sz w:val="28"/>
        </w:rPr>
        <w:t>3. The vote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fill="14352A"/>
          </w:tcPr>
          <w:p>
            <w:pPr>
              <w:spacing w:before="40" w:after="40"/>
            </w:pPr>
            <w:r>
              <w:rPr>
                <w:b/>
                <w:i w:val="0"/>
                <w:color w:val="FFFFFF"/>
                <w:sz w:val="17"/>
              </w:rPr>
              <w:t>Seat</w:t>
            </w:r>
          </w:p>
        </w:tc>
        <w:tc>
          <w:tcPr>
            <w:tcW w:type="dxa" w:w="3216"/>
            <w:shd w:val="clear" w:fill="14352A"/>
          </w:tcPr>
          <w:p>
            <w:pPr>
              <w:spacing w:before="40" w:after="40"/>
            </w:pPr>
            <w:r>
              <w:rPr>
                <w:b/>
                <w:i w:val="0"/>
                <w:color w:val="FFFFFF"/>
                <w:sz w:val="17"/>
              </w:rPr>
              <w:t>Vote</w:t>
            </w:r>
          </w:p>
        </w:tc>
        <w:tc>
          <w:tcPr>
            <w:tcW w:type="dxa" w:w="3216"/>
            <w:shd w:val="clear" w:fill="14352A"/>
          </w:tcPr>
          <w:p>
            <w:pPr>
              <w:spacing w:before="40" w:after="40"/>
            </w:pPr>
            <w:r>
              <w:rPr>
                <w:b/>
                <w:i w:val="0"/>
                <w:color w:val="FFFFFF"/>
                <w:sz w:val="17"/>
              </w:rPr>
              <w:t>Recorded position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Chief Product Officer — Executive Sponsor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/>
                <w:i w:val="0"/>
                <w:sz w:val="17"/>
              </w:rPr>
              <w:t>Cancel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Segment remains strategically attractive; this structure is not the way in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Chief Actuary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/>
                <w:i w:val="0"/>
                <w:sz w:val="17"/>
              </w:rPr>
              <w:t>Cancel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No tested structure clears the hurdle at a competitive buffer and cap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General Counsel &amp; Chief Compliance Officer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/>
                <w:i w:val="0"/>
                <w:sz w:val="17"/>
              </w:rPr>
              <w:t>Cancel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Registration and supervision obligations exceed the compliance operating model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Chief Financial Officer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/>
                <w:i w:val="0"/>
                <w:sz w:val="17"/>
              </w:rPr>
              <w:t>Cancel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Capital better deployed against a product the carrier can distribute today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Head of Distribution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/>
                <w:i w:val="0"/>
                <w:sz w:val="17"/>
              </w:rPr>
              <w:t>Continue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Channel demand is real and unmet; recommended re-scoping rather than cancelling</w:t>
            </w:r>
          </w:p>
        </w:tc>
      </w:tr>
      <w:tr>
        <w:tc>
          <w:tcPr>
            <w:tcW w:type="dxa" w:w="6432"/>
            <w:gridSpan w:val="2"/>
          </w:tcPr>
          <w:p>
            <w:pPr>
              <w:spacing w:before="40" w:after="40"/>
            </w:pPr>
            <w:r>
              <w:rPr>
                <w:b/>
                <w:i w:val="0"/>
                <w:sz w:val="17"/>
              </w:rPr>
              <w:t>Carried 1-4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Cancel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fill="E8F1ED"/>
          </w:tcPr>
          <w:p>
            <w:pPr>
              <w:spacing w:after="120"/>
            </w:pPr>
            <w:r>
              <w:rPr>
                <w:b/>
                <w:i w:val="0"/>
                <w:sz w:val="20"/>
              </w:rPr>
              <w:t>The dissenting vote was right about the demand and wrong about the remedy — and it shaped what came next.</w:t>
            </w:r>
            <w:r>
              <w:rPr>
                <w:b w:val="0"/>
                <w:i w:val="0"/>
                <w:sz w:val="20"/>
              </w:rPr>
              <w:t xml:space="preserve"> Distribution's position was that the appetite was genuine and the carrier should find a way to serve it. The Board accepted the first half. What it declined to accept was that re-scoping </w:t>
            </w:r>
            <w:r>
              <w:rPr>
                <w:b w:val="0"/>
                <w:i/>
                <w:sz w:val="20"/>
              </w:rPr>
              <w:t>this</w:t>
            </w:r>
            <w:r>
              <w:rPr>
                <w:b w:val="0"/>
                <w:i w:val="0"/>
                <w:sz w:val="20"/>
              </w:rPr>
              <w:t xml:space="preserve"> programme was the way, since neither the registration burden nor the hedging constraint was a matter of scope. The successor concept serves the same appetite from the other side of the registration line. </w:t>
            </w:r>
          </w:p>
        </w:tc>
      </w:tr>
    </w:tbl>
    <w:p/>
    <w:p>
      <w:pPr>
        <w:spacing w:before="280" w:after="80"/>
      </w:pPr>
      <w:r>
        <w:rPr>
          <w:b/>
          <w:i w:val="0"/>
          <w:color w:val="14352A"/>
          <w:sz w:val="28"/>
        </w:rPr>
        <w:t>4. Execution of the cancellation protocol</w:t>
      </w:r>
    </w:p>
    <w:p>
      <w:pPr>
        <w:spacing w:after="120"/>
      </w:pPr>
      <w:r>
        <w:rPr>
          <w:b w:val="0"/>
          <w:i w:val="0"/>
          <w:sz w:val="20"/>
        </w:rPr>
        <w:t>Governance Model §13 sets out seven steps on a cancel. All seven were executed and are recorded here.</w:t>
      </w:r>
    </w:p>
    <w:p>
      <w:pPr>
        <w:spacing w:after="120"/>
      </w:pPr>
      <w:r>
        <w:rPr>
          <w:b w:val="0"/>
          <w:i w:val="0"/>
          <w:sz w:val="20"/>
        </w:rPr>
        <w:t>1</w:t>
      </w:r>
    </w:p>
    <w:p>
      <w:pPr>
        <w:spacing w:after="120"/>
      </w:pPr>
      <w:r>
        <w:rPr>
          <w:b/>
          <w:i w:val="0"/>
          <w:sz w:val="20"/>
        </w:rPr>
        <w:t>Funding stopped immediately.</w:t>
      </w:r>
      <w:r>
        <w:rPr>
          <w:b w:val="0"/>
          <w:i w:val="0"/>
          <w:sz w:val="20"/>
        </w:rPr>
        <w:t xml:space="preserve"> No Stage 2 tranche was ever released. No further commitments were entered after 07 August 2025.</w:t>
      </w:r>
    </w:p>
    <w:p>
      <w:pPr>
        <w:spacing w:after="120"/>
      </w:pPr>
      <w:r>
        <w:rPr>
          <w:b w:val="0"/>
          <w:i w:val="0"/>
          <w:sz w:val="20"/>
        </w:rPr>
        <w:t>2</w:t>
      </w:r>
    </w:p>
    <w:p>
      <w:pPr>
        <w:spacing w:after="120"/>
      </w:pPr>
      <w:r>
        <w:rPr>
          <w:b/>
          <w:i w:val="0"/>
          <w:sz w:val="20"/>
        </w:rPr>
        <w:t>Final accounting filed 04 September 2025</w:t>
      </w:r>
      <w:r>
        <w:rPr>
          <w:b w:val="0"/>
          <w:i w:val="0"/>
          <w:sz w:val="20"/>
        </w:rPr>
        <w:t>, within twenty business days, to the CFO and the Executive Committee. See §5.</w:t>
      </w:r>
    </w:p>
    <w:p>
      <w:pPr>
        <w:spacing w:after="120"/>
      </w:pPr>
      <w:r>
        <w:rPr>
          <w:b w:val="0"/>
          <w:i w:val="0"/>
          <w:sz w:val="20"/>
        </w:rPr>
        <w:t>3</w:t>
      </w:r>
    </w:p>
    <w:p>
      <w:pPr>
        <w:spacing w:after="120"/>
      </w:pPr>
      <w:r>
        <w:rPr>
          <w:b/>
          <w:i w:val="0"/>
          <w:sz w:val="20"/>
        </w:rPr>
        <w:t>External obligations settled, not abandoned.</w:t>
      </w:r>
      <w:r>
        <w:rPr>
          <w:b w:val="0"/>
          <w:i w:val="0"/>
          <w:sz w:val="20"/>
        </w:rPr>
        <w:t xml:space="preserve"> Two engagements were live — outside securities counsel and an external hedging capability assessment. Both were terminated for convenience under their existing terms and paid to the point of termination.</w:t>
      </w:r>
    </w:p>
    <w:p>
      <w:pPr>
        <w:spacing w:after="120"/>
      </w:pPr>
      <w:r>
        <w:rPr>
          <w:b w:val="0"/>
          <w:i w:val="0"/>
          <w:sz w:val="20"/>
        </w:rPr>
        <w:t>4</w:t>
      </w:r>
    </w:p>
    <w:p>
      <w:pPr>
        <w:spacing w:after="120"/>
      </w:pPr>
      <w:r>
        <w:rPr>
          <w:b/>
          <w:i w:val="0"/>
          <w:sz w:val="20"/>
        </w:rPr>
        <w:t>Team released on a stated date</w:t>
      </w:r>
      <w:r>
        <w:rPr>
          <w:b w:val="0"/>
          <w:i w:val="0"/>
          <w:sz w:val="20"/>
        </w:rPr>
        <w:t xml:space="preserve"> with reassignment handled through functional leads. Fourteen people were engaged at least part-time; all were reassigned within the carrier.</w:t>
      </w:r>
    </w:p>
    <w:p>
      <w:pPr>
        <w:spacing w:after="120"/>
      </w:pPr>
      <w:r>
        <w:rPr>
          <w:b w:val="0"/>
          <w:i w:val="0"/>
          <w:sz w:val="20"/>
        </w:rPr>
        <w:t>5</w:t>
      </w:r>
    </w:p>
    <w:p>
      <w:pPr>
        <w:spacing w:after="120"/>
      </w:pPr>
      <w:r>
        <w:rPr>
          <w:b/>
          <w:i w:val="0"/>
          <w:sz w:val="20"/>
        </w:rPr>
        <w:t>Work product preserved and indexed</w:t>
      </w:r>
      <w:r>
        <w:rPr>
          <w:b w:val="0"/>
          <w:i w:val="0"/>
          <w:sz w:val="20"/>
        </w:rPr>
        <w:t xml:space="preserve"> — see §6. This is the step most often skipped, and skipping it is how an organisation pays twice for the same research.</w:t>
      </w:r>
    </w:p>
    <w:p>
      <w:pPr>
        <w:spacing w:after="120"/>
      </w:pPr>
      <w:r>
        <w:rPr>
          <w:b w:val="0"/>
          <w:i w:val="0"/>
          <w:sz w:val="20"/>
        </w:rPr>
        <w:t>6</w:t>
      </w:r>
    </w:p>
    <w:p>
      <w:pPr>
        <w:spacing w:after="120"/>
      </w:pPr>
      <w:r>
        <w:rPr>
          <w:b/>
          <w:i w:val="0"/>
          <w:sz w:val="20"/>
        </w:rPr>
        <w:t>This cancellation record filed</w:t>
      </w:r>
      <w:r>
        <w:rPr>
          <w:b w:val="0"/>
          <w:i w:val="0"/>
          <w:sz w:val="20"/>
        </w:rPr>
        <w:t>, stating the decision, the vote, the rationale and the final accounting.</w:t>
      </w:r>
    </w:p>
    <w:p>
      <w:pPr>
        <w:spacing w:after="120"/>
      </w:pPr>
      <w:r>
        <w:rPr>
          <w:b w:val="0"/>
          <w:i w:val="0"/>
          <w:sz w:val="20"/>
        </w:rPr>
        <w:t>7</w:t>
      </w:r>
    </w:p>
    <w:p>
      <w:pPr>
        <w:spacing w:after="120"/>
      </w:pPr>
      <w:r>
        <w:rPr>
          <w:b/>
          <w:i w:val="0"/>
          <w:sz w:val="20"/>
        </w:rPr>
        <w:t>Re-entry permitted only at Gate 0</w:t>
      </w:r>
      <w:r>
        <w:rPr>
          <w:b w:val="0"/>
          <w:i w:val="0"/>
          <w:sz w:val="20"/>
        </w:rPr>
        <w:t>, with a new business case and new funding. Applied — see §7.</w:t>
      </w:r>
    </w:p>
    <w:p>
      <w:pPr>
        <w:spacing w:before="280" w:after="80"/>
      </w:pPr>
      <w:r>
        <w:rPr>
          <w:b/>
          <w:i w:val="0"/>
          <w:color w:val="14352A"/>
          <w:sz w:val="28"/>
        </w:rPr>
        <w:t>5. Final accounting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Concept and product design - structure, buffer levels, rider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$284,000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Actuarial pricing and capital modelling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$246,000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Registration and distribution licensing assessment (external counsel)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$198,000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Hedging capability assessment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$88,000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Program management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$52,000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/>
                <w:i w:val="0"/>
                <w:sz w:val="17"/>
              </w:rPr>
              <w:t>Total spent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/>
                <w:i w:val="0"/>
                <w:sz w:val="17"/>
              </w:rPr>
              <w:t>$868,000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Stage 1 tranche released at Gate 0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$1,140,000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/>
                <w:i w:val="0"/>
                <w:sz w:val="17"/>
              </w:rPr>
              <w:t>Returned to the capital pool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/>
                <w:i w:val="0"/>
                <w:sz w:val="17"/>
              </w:rPr>
              <w:t>$272,000</w:t>
            </w:r>
          </w:p>
        </w:tc>
      </w:tr>
    </w:tbl>
    <w:p/>
    <w:p>
      <w:pPr>
        <w:spacing w:after="120"/>
      </w:pPr>
      <w:r>
        <w:rPr>
          <w:b w:val="0"/>
          <w:i w:val="0"/>
          <w:sz w:val="20"/>
        </w:rPr>
        <w:t>The single largest line is the registration and distribution licensing assessment. That is the correct shape for a Stage 1 that did its job: the money went into establishing the fact that cancelled the programme, and it was spent before the far larger development tranche was committed.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fill="E8F1ED"/>
          </w:tcPr>
          <w:p>
            <w:pPr>
              <w:spacing w:after="120"/>
            </w:pPr>
            <w:r>
              <w:rPr>
                <w:b/>
                <w:i w:val="0"/>
                <w:sz w:val="20"/>
              </w:rPr>
              <w:t>$272,000 was returned rather than absorbed.</w:t>
            </w:r>
            <w:r>
              <w:rPr>
                <w:b w:val="0"/>
                <w:i w:val="0"/>
                <w:sz w:val="20"/>
              </w:rPr>
              <w:t xml:space="preserve"> Under a conventional single-baseline funding model the unspent balance would have sat inside an approved programme budget and been consumed by whatever the programme did next. Tranche-based release is what makes the return mechanical rather than a matter of anyone's discipline. </w:t>
            </w:r>
          </w:p>
        </w:tc>
      </w:tr>
    </w:tbl>
    <w:p/>
    <w:p>
      <w:pPr>
        <w:spacing w:before="280" w:after="80"/>
      </w:pPr>
      <w:r>
        <w:rPr>
          <w:b/>
          <w:i w:val="0"/>
          <w:color w:val="14352A"/>
          <w:sz w:val="28"/>
        </w:rPr>
        <w:t>6. Work product preserved</w:t>
      </w:r>
    </w:p>
    <w:p>
      <w:pPr>
        <w:spacing w:after="120"/>
      </w:pPr>
      <w:r>
        <w:rPr>
          <w:b w:val="0"/>
          <w:i w:val="0"/>
          <w:sz w:val="20"/>
        </w:rPr>
        <w:t>Indexed and retained under step 5, available to any subsequent concept on the same terms as any other internal research:</w:t>
      </w:r>
    </w:p>
    <w:p>
      <w:pPr>
        <w:pStyle w:val="ListBullet"/>
        <w:spacing w:after="60"/>
      </w:pPr>
      <w:r>
        <w:rPr>
          <w:b w:val="0"/>
          <w:i w:val="0"/>
          <w:sz w:val="20"/>
        </w:rPr>
        <w:t>Market sizing and segment analysis for index-linked products.</w:t>
      </w:r>
    </w:p>
    <w:p>
      <w:pPr>
        <w:pStyle w:val="ListBullet"/>
        <w:spacing w:after="60"/>
      </w:pPr>
      <w:r>
        <w:rPr>
          <w:b w:val="0"/>
          <w:i w:val="0"/>
          <w:sz w:val="20"/>
        </w:rPr>
        <w:t>Distribution appetite research, including the partner conversations behind Distribution's dissenting vote.</w:t>
      </w:r>
    </w:p>
    <w:p>
      <w:pPr>
        <w:pStyle w:val="ListBullet"/>
        <w:spacing w:after="60"/>
      </w:pPr>
      <w:r>
        <w:rPr>
          <w:b w:val="0"/>
          <w:i w:val="0"/>
          <w:sz w:val="20"/>
        </w:rPr>
        <w:t>The registration and licensing assessment — the most durable output, and the one that made the successor's Gate 0 case straightforward to frame.</w:t>
      </w:r>
    </w:p>
    <w:p>
      <w:pPr>
        <w:pStyle w:val="ListBullet"/>
        <w:spacing w:after="60"/>
      </w:pPr>
      <w:r>
        <w:rPr>
          <w:b w:val="0"/>
          <w:i w:val="0"/>
          <w:sz w:val="20"/>
        </w:rPr>
        <w:t>The hedging capability assessment, including what the desk can and cannot execute in-house.</w:t>
      </w:r>
    </w:p>
    <w:p>
      <w:pPr>
        <w:pStyle w:val="ListBullet"/>
        <w:spacing w:after="60"/>
      </w:pPr>
      <w:r>
        <w:rPr>
          <w:b w:val="0"/>
          <w:i w:val="0"/>
          <w:sz w:val="20"/>
        </w:rPr>
        <w:t>Actuarial pricing models for index-linked structures, with assumptions documented and dated.</w:t>
      </w:r>
    </w:p>
    <w:p>
      <w:pPr>
        <w:spacing w:after="120"/>
      </w:pPr>
      <w:r>
        <w:rPr>
          <w:b/>
          <w:i w:val="0"/>
          <w:sz w:val="20"/>
        </w:rPr>
        <w:t>What was not preserved: the programme.</w:t>
      </w:r>
      <w:r>
        <w:rPr>
          <w:b w:val="0"/>
          <w:i w:val="0"/>
          <w:sz w:val="20"/>
        </w:rPr>
        <w:t xml:space="preserve"> No team, no funding, no schedule and no approvals carried forward. Preserved research is an input available to anyone; it is not a running programme in suspension.</w:t>
      </w:r>
    </w:p>
    <w:p>
      <w:pPr>
        <w:spacing w:before="280" w:after="80"/>
      </w:pPr>
      <w:r>
        <w:rPr>
          <w:b/>
          <w:i w:val="0"/>
          <w:color w:val="14352A"/>
          <w:sz w:val="28"/>
        </w:rPr>
        <w:t>7. Why the successor is a new programme and not a restart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fill="FBEAE8"/>
          </w:tcPr>
          <w:p>
            <w:pPr>
              <w:spacing w:after="120"/>
            </w:pPr>
            <w:r>
              <w:rPr>
                <w:b/>
                <w:i w:val="0"/>
                <w:sz w:val="20"/>
              </w:rPr>
              <w:t>The zombie project.</w:t>
            </w:r>
            <w:r>
              <w:rPr>
                <w:b w:val="0"/>
                <w:i w:val="0"/>
                <w:sz w:val="20"/>
              </w:rPr>
              <w:t xml:space="preserve"> The characteristic pathology of stage-gate governance is the cancelled programme that returns under a new name, resumes where it stopped, and keeps its old funding and its old team. Where that happens the cancel was theatre — and every subsequent decision by that board is worth less for it. </w:t>
            </w:r>
          </w:p>
        </w:tc>
      </w:tr>
    </w:tbl>
    <w:p/>
    <w:p>
      <w:pPr>
        <w:spacing w:after="120"/>
      </w:pPr>
      <w:r>
        <w:rPr>
          <w:b w:val="0"/>
          <w:i w:val="0"/>
          <w:sz w:val="20"/>
        </w:rPr>
        <w:t>The distinction is procedural and auditable, and it is set out here so that it can be checked rather than asserted.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fill="14352A"/>
          </w:tcPr>
          <w:p>
            <w:pPr>
              <w:spacing w:before="40" w:after="40"/>
            </w:pPr>
            <w:r>
              <w:rPr>
                <w:b/>
                <w:i w:val="0"/>
                <w:color w:val="FFFFFF"/>
                <w:sz w:val="17"/>
              </w:rPr>
              <w:t>Test</w:t>
            </w:r>
          </w:p>
        </w:tc>
        <w:tc>
          <w:tcPr>
            <w:tcW w:type="dxa" w:w="3216"/>
            <w:shd w:val="clear" w:fill="14352A"/>
          </w:tcPr>
          <w:p>
            <w:pPr>
              <w:spacing w:before="40" w:after="40"/>
            </w:pPr>
            <w:r>
              <w:rPr>
                <w:b/>
                <w:i w:val="0"/>
                <w:color w:val="FFFFFF"/>
                <w:sz w:val="17"/>
              </w:rPr>
              <w:t>Harborline</w:t>
            </w:r>
          </w:p>
        </w:tc>
        <w:tc>
          <w:tcPr>
            <w:tcW w:type="dxa" w:w="3216"/>
            <w:shd w:val="clear" w:fill="14352A"/>
          </w:tcPr>
          <w:p>
            <w:pPr>
              <w:spacing w:before="40" w:after="40"/>
            </w:pPr>
            <w:r>
              <w:rPr>
                <w:b/>
                <w:i w:val="0"/>
                <w:color w:val="FFFFFF"/>
                <w:sz w:val="17"/>
              </w:rPr>
              <w:t>Beacon Index Advantage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Programme status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Closed 07 Aug 2025; final accounting filed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New programme, screened at Gate 0 on 05 Feb 2026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Funding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Cancelled; $272,000 returned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New Stage 1 tranche earned at its own Gate 0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Entry point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/>
                <w:i w:val="0"/>
                <w:sz w:val="17"/>
              </w:rPr>
              <w:t>Gate 0</w:t>
            </w:r>
            <w:r>
              <w:rPr>
                <w:b w:val="0"/>
                <w:i w:val="0"/>
                <w:sz w:val="17"/>
              </w:rPr>
              <w:t>, not Gate 1. Nothing was resumed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Business case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Rejected at Gate 1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Written new; recycled once at its own Gate 1 before carrying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Team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Released and reassigned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Staffed independently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Product structure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Registered, buffered, downside participation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Non-registered, capped, principal protected — a different product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Elapsed between them</w:t>
            </w:r>
          </w:p>
        </w:tc>
        <w:tc>
          <w:tcPr>
            <w:tcW w:type="dxa" w:w="6432"/>
            <w:gridSpan w:val="2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182 days between the cancel and the successor's Gate 0</w:t>
            </w:r>
          </w:p>
        </w:tc>
      </w:tr>
    </w:tbl>
    <w:p/>
    <w:p>
      <w:pPr>
        <w:spacing w:after="120"/>
      </w:pPr>
      <w:r>
        <w:rPr>
          <w:b w:val="0"/>
          <w:i w:val="0"/>
          <w:sz w:val="20"/>
        </w:rPr>
        <w:t xml:space="preserve">The two programmes are connected by a lesson, not by a ledger. Harborline established that the registration burden — not the product idea, not the market — was the binding constraint. Beacon Index Advantage is a fixed indexed annuity precisely because of that finding, which is recorded as decision </w:t>
      </w:r>
      <w:r>
        <w:rPr>
          <w:b/>
          <w:i w:val="0"/>
          <w:sz w:val="20"/>
        </w:rPr>
        <w:t>D-01</w:t>
      </w:r>
      <w:r>
        <w:rPr>
          <w:b w:val="0"/>
          <w:i w:val="0"/>
          <w:sz w:val="20"/>
        </w:rPr>
        <w:t>. The successor serves the same demand from the non-registered side of the line, where the carrier's existing distribution, compliance model and hedging desk all already operate.</w:t>
      </w:r>
    </w:p>
    <w:p>
      <w:pPr>
        <w:spacing w:after="120"/>
      </w:pPr>
      <w:r>
        <w:rPr>
          <w:b/>
          <w:i w:val="0"/>
          <w:sz w:val="20"/>
        </w:rPr>
        <w:t>Stated plainly: this programme exists in the form it does because the Board cancelled the previous version of it.</w:t>
      </w:r>
    </w:p>
    <w:p>
      <w:pPr>
        <w:spacing w:before="280" w:after="80"/>
      </w:pPr>
      <w:r>
        <w:rPr>
          <w:b/>
          <w:i w:val="0"/>
          <w:color w:val="14352A"/>
          <w:sz w:val="28"/>
        </w:rPr>
        <w:t>8. What the Board changed as a result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val="clear" w:fill="14352A"/>
          </w:tcPr>
          <w:p>
            <w:pPr>
              <w:spacing w:before="40" w:after="40"/>
            </w:pPr>
            <w:r>
              <w:rPr>
                <w:b/>
                <w:i w:val="0"/>
                <w:color w:val="FFFFFF"/>
                <w:sz w:val="17"/>
              </w:rPr>
              <w:t>Finding</w:t>
            </w:r>
          </w:p>
        </w:tc>
        <w:tc>
          <w:tcPr>
            <w:tcW w:type="dxa" w:w="4824"/>
            <w:shd w:val="clear" w:fill="14352A"/>
          </w:tcPr>
          <w:p>
            <w:pPr>
              <w:spacing w:before="40" w:after="40"/>
            </w:pPr>
            <w:r>
              <w:rPr>
                <w:b/>
                <w:i w:val="0"/>
                <w:color w:val="FFFFFF"/>
                <w:sz w:val="17"/>
              </w:rPr>
              <w:t>Change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 xml:space="preserve">Gate 0 scored feasibility on the ability to </w:t>
            </w:r>
            <w:r>
              <w:rPr>
                <w:b w:val="0"/>
                <w:i/>
                <w:sz w:val="17"/>
              </w:rPr>
              <w:t>build</w:t>
            </w:r>
            <w:r>
              <w:rPr>
                <w:b w:val="0"/>
                <w:i w:val="0"/>
                <w:sz w:val="17"/>
              </w:rPr>
              <w:t xml:space="preserve">, not to </w:t>
            </w:r>
            <w:r>
              <w:rPr>
                <w:b w:val="0"/>
                <w:i/>
                <w:sz w:val="17"/>
              </w:rPr>
              <w:t>distribute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Gate 0 must-meet criteria now include that the concept does not require a capability the organisation has already decided not to build; distribution appetite became a scored criterion in its own right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Hedging capability was assessed late in Stage 1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 xml:space="preserve">Hedgeability with in-house capability became a </w:t>
            </w:r>
            <w:r>
              <w:rPr>
                <w:b/>
                <w:i w:val="0"/>
                <w:sz w:val="17"/>
              </w:rPr>
              <w:t>Gate 1 must-meet</w:t>
            </w:r>
            <w:r>
              <w:rPr>
                <w:b w:val="0"/>
                <w:i w:val="0"/>
                <w:sz w:val="17"/>
              </w:rPr>
              <w:t xml:space="preserve"> on the successor programme, certified by name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The strategic case outran the economics for two quarters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Cancellation thresholds are now published in advance for each gate rather than debated in the room (Governance Model §13.1)</w:t>
            </w:r>
          </w:p>
        </w:tc>
      </w:tr>
    </w:tbl>
    <w:p/>
    <w:p>
      <w:pPr>
        <w:spacing w:after="120"/>
      </w:pPr>
      <w:r>
        <w:rPr>
          <w:b w:val="0"/>
          <w:i w:val="0"/>
          <w:sz w:val="20"/>
        </w:rPr>
        <w:t>These are the reason the successor's Gate 1 must-meet list reads as it does. A governance model that produces the same failure twice has not learned anything from producing it once.</w:t>
      </w:r>
    </w:p>
    <w:p>
      <w:pPr>
        <w:spacing w:before="280" w:after="80"/>
      </w:pPr>
      <w:r>
        <w:rPr>
          <w:b/>
          <w:i w:val="0"/>
          <w:color w:val="14352A"/>
          <w:sz w:val="28"/>
        </w:rPr>
        <w:t>9.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fill="14352A"/>
          </w:tcPr>
          <w:p>
            <w:pPr>
              <w:spacing w:before="40" w:after="40"/>
            </w:pPr>
            <w:r>
              <w:rPr>
                <w:b/>
                <w:i w:val="0"/>
                <w:color w:val="FFFFFF"/>
                <w:sz w:val="17"/>
              </w:rPr>
              <w:t>Version</w:t>
            </w:r>
          </w:p>
        </w:tc>
        <w:tc>
          <w:tcPr>
            <w:tcW w:type="dxa" w:w="3216"/>
            <w:shd w:val="clear" w:fill="14352A"/>
          </w:tcPr>
          <w:p>
            <w:pPr>
              <w:spacing w:before="40" w:after="40"/>
            </w:pPr>
            <w:r>
              <w:rPr>
                <w:b/>
                <w:i w:val="0"/>
                <w:color w:val="FFFFFF"/>
                <w:sz w:val="17"/>
              </w:rPr>
              <w:t>Date</w:t>
            </w:r>
          </w:p>
        </w:tc>
        <w:tc>
          <w:tcPr>
            <w:tcW w:type="dxa" w:w="3216"/>
            <w:shd w:val="clear" w:fill="14352A"/>
          </w:tcPr>
          <w:p>
            <w:pPr>
              <w:spacing w:before="40" w:after="40"/>
            </w:pPr>
            <w:r>
              <w:rPr>
                <w:b/>
                <w:i w:val="0"/>
                <w:color w:val="FFFFFF"/>
                <w:sz w:val="17"/>
              </w:rPr>
              <w:t>Change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1.0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07 Aug 2025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Filed on the day of the decision. Grounds, vote and protocol steps 1, 3, 4 and 7.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1.1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04 Sep 2025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Final accounting added (§5); work product index completed (§6). Record closed.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1.2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05 Feb 2026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b w:val="0"/>
                <w:i w:val="0"/>
                <w:sz w:val="17"/>
              </w:rPr>
              <w:t>Reopened once, on the successor's Gate 0, to add §7 and §8 — the new-programme test and the governance changes. No figures altered.</w:t>
            </w:r>
          </w:p>
        </w:tc>
      </w:tr>
    </w:tbl>
    <w:p/>
    <w:p>
      <w:pPr>
        <w:spacing w:after="120"/>
      </w:pPr>
      <w:r>
        <w:rPr>
          <w:b w:val="0"/>
          <w:i w:val="0"/>
          <w:sz w:val="20"/>
        </w:rPr>
        <w:t xml:space="preserve">Filed by C. Tyrrell, NPD Programme Manager and Chair of the Gate Review Board. Related: </w:t>
      </w:r>
      <w:r>
        <w:rPr>
          <w:b w:val="0"/>
          <w:i w:val="0"/>
          <w:sz w:val="20"/>
        </w:rPr>
        <w:t>Stage-Gate Governance Model</w:t>
      </w:r>
      <w:r>
        <w:rPr>
          <w:b w:val="0"/>
          <w:i w:val="0"/>
          <w:sz w:val="20"/>
        </w:rPr>
        <w:t xml:space="preserve"> §13 and §18 · </w:t>
      </w:r>
      <w:r>
        <w:rPr>
          <w:b w:val="0"/>
          <w:i w:val="0"/>
          <w:sz w:val="20"/>
        </w:rPr>
        <w:t>Gate Decision Framework</w:t>
      </w:r>
      <w:r>
        <w:rPr>
          <w:b w:val="0"/>
          <w:i w:val="0"/>
          <w:sz w:val="20"/>
        </w:rPr>
        <w:t xml:space="preserve"> §7.</w:t>
      </w:r>
    </w:p>
    <w:p/>
    <w:p>
      <w:pPr>
        <w:jc w:val="left"/>
      </w:pPr>
      <w:r>
        <w:rPr>
          <w:color w:val="5B6472"/>
          <w:sz w:val="15"/>
        </w:rPr>
        <w:t>Lighthouse Financial Services Company — fictional portfolio artifact produced by C. Tyrrell to demonstrate stage-gate</w:t>
        <w:br/>
        <w:t>new product development governance, including programme cancellation. No real company, product,</w:t>
        <w:br/>
        <w:t>person or filing is depicted.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