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Product Requirements Document</w:t>
      </w:r>
    </w:p>
    <w:p>
      <w:r>
        <w:rPr>
          <w:color w:val="1E5945"/>
          <w:sz w:val="18"/>
        </w:rPr>
        <w:t>Product &amp; Regulatory · Versioned by Gate, Not by Sprint</w:t>
      </w:r>
    </w:p>
    <w:p/>
    <w:p>
      <w:pPr>
        <w:spacing w:after="120"/>
      </w:pPr>
      <w:r>
        <w:rPr>
          <w:b/>
          <w:i w:val="0"/>
          <w:sz w:val="20"/>
        </w:rPr>
        <w:t>Lighthouse Financial Services Company</w:t>
      </w:r>
      <w:r>
        <w:rPr>
          <w:b w:val="0"/>
          <w:i w:val="0"/>
          <w:sz w:val="20"/>
        </w:rPr>
        <w:t xml:space="preserve"> — What Beacon Index Advantage is, what it is deliberately not, and which gate authorized each answer. </w:t>
      </w:r>
      <w:r>
        <w:rPr>
          <w:b/>
          <w:i w:val="0"/>
          <w:sz w:val="20"/>
        </w:rPr>
        <w:t>Version 1.1</w:t>
      </w:r>
      <w:r>
        <w:rPr>
          <w:b w:val="0"/>
          <w:i w:val="0"/>
          <w:sz w:val="20"/>
        </w:rPr>
        <w:t>, adopted 11 June 2026 and frozen until Gate 2 on 01 April 2027.</w:t>
      </w:r>
    </w:p>
    <w:p>
      <w:pPr>
        <w:spacing w:after="120"/>
      </w:pPr>
      <w:r>
        <w:rPr>
          <w:b w:val="0"/>
          <w:i w:val="0"/>
          <w:sz w:val="20"/>
        </w:rPr>
        <w:t>15</w:t>
      </w:r>
    </w:p>
    <w:p>
      <w:pPr>
        <w:spacing w:after="120"/>
      </w:pPr>
      <w:r>
        <w:rPr>
          <w:b w:val="0"/>
          <w:i w:val="0"/>
          <w:sz w:val="20"/>
        </w:rPr>
        <w:t>Requirements in scope</w:t>
      </w:r>
    </w:p>
    <w:p>
      <w:pPr>
        <w:spacing w:after="120"/>
      </w:pPr>
      <w:r>
        <w:rPr>
          <w:b w:val="0"/>
          <w:i w:val="0"/>
          <w:sz w:val="20"/>
        </w:rPr>
        <w:t>2</w:t>
      </w:r>
    </w:p>
    <w:p>
      <w:pPr>
        <w:spacing w:after="120"/>
      </w:pPr>
      <w:r>
        <w:rPr>
          <w:b w:val="0"/>
          <w:i w:val="0"/>
          <w:sz w:val="20"/>
        </w:rPr>
        <w:t>Withdrawn at Gate 1</w:t>
      </w:r>
    </w:p>
    <w:p>
      <w:pPr>
        <w:spacing w:after="120"/>
      </w:pPr>
      <w:r>
        <w:rPr>
          <w:b w:val="0"/>
          <w:i w:val="0"/>
          <w:sz w:val="20"/>
        </w:rPr>
        <w:t>3</w:t>
      </w:r>
    </w:p>
    <w:p>
      <w:pPr>
        <w:spacing w:after="120"/>
      </w:pPr>
      <w:r>
        <w:rPr>
          <w:b w:val="0"/>
          <w:i w:val="0"/>
          <w:sz w:val="20"/>
        </w:rPr>
        <w:t>Crediting strategies</w:t>
      </w:r>
    </w:p>
    <w:p>
      <w:pPr>
        <w:spacing w:after="120"/>
      </w:pPr>
      <w:r>
        <w:rPr>
          <w:b w:val="0"/>
          <w:i w:val="0"/>
          <w:sz w:val="20"/>
        </w:rPr>
        <w:t>1.1</w:t>
      </w:r>
    </w:p>
    <w:p>
      <w:pPr>
        <w:spacing w:after="120"/>
      </w:pPr>
      <w:r>
        <w:rPr>
          <w:b w:val="0"/>
          <w:i w:val="0"/>
          <w:sz w:val="20"/>
        </w:rPr>
        <w:t>Current version</w:t>
      </w:r>
    </w:p>
    <w:p>
      <w:pPr>
        <w:spacing w:after="120"/>
      </w:pPr>
      <w:r>
        <w:rPr>
          <w:b/>
          <w:i w:val="0"/>
          <w:sz w:val="20"/>
        </w:rPr>
        <w:t>Contents</w:t>
      </w:r>
    </w:p>
    <w:p>
      <w:pPr>
        <w:pStyle w:val="ListNumber"/>
        <w:spacing w:after="60"/>
      </w:pPr>
      <w:r>
        <w:rPr>
          <w:b w:val="0"/>
          <w:i w:val="0"/>
          <w:sz w:val="20"/>
        </w:rPr>
        <w:t>Why There Is No BRD</w:t>
      </w:r>
    </w:p>
    <w:p>
      <w:pPr>
        <w:pStyle w:val="ListNumber"/>
        <w:spacing w:after="60"/>
      </w:pPr>
      <w:r>
        <w:rPr>
          <w:b w:val="0"/>
          <w:i w:val="0"/>
          <w:sz w:val="20"/>
        </w:rPr>
        <w:t>Product Definition</w:t>
      </w:r>
    </w:p>
    <w:p>
      <w:pPr>
        <w:pStyle w:val="ListNumber"/>
        <w:spacing w:after="60"/>
      </w:pPr>
      <w:r>
        <w:rPr>
          <w:b w:val="0"/>
          <w:i w:val="0"/>
          <w:sz w:val="20"/>
        </w:rPr>
        <w:t>Requirements by Area</w:t>
      </w:r>
    </w:p>
    <w:p>
      <w:pPr>
        <w:pStyle w:val="ListNumber"/>
        <w:spacing w:after="60"/>
      </w:pPr>
      <w:r>
        <w:rPr>
          <w:b w:val="0"/>
          <w:i w:val="0"/>
          <w:sz w:val="20"/>
        </w:rPr>
        <w:t>The Three Crediting Strategies</w:t>
      </w:r>
    </w:p>
    <w:p>
      <w:pPr>
        <w:pStyle w:val="ListNumber"/>
        <w:spacing w:after="60"/>
      </w:pPr>
      <w:r>
        <w:rPr>
          <w:b w:val="0"/>
          <w:i w:val="0"/>
          <w:sz w:val="20"/>
        </w:rPr>
        <w:t>Deliberately Out of Scope</w:t>
      </w:r>
    </w:p>
    <w:p>
      <w:pPr>
        <w:pStyle w:val="ListNumber"/>
        <w:spacing w:after="60"/>
      </w:pPr>
      <w:r>
        <w:rPr>
          <w:b w:val="0"/>
          <w:i w:val="0"/>
          <w:sz w:val="20"/>
        </w:rPr>
        <w:t>Versioned by Gate</w:t>
      </w:r>
    </w:p>
    <w:p>
      <w:pPr>
        <w:pStyle w:val="ListNumber"/>
        <w:spacing w:after="60"/>
      </w:pPr>
      <w:r>
        <w:rPr>
          <w:b w:val="0"/>
          <w:i w:val="0"/>
          <w:sz w:val="20"/>
        </w:rPr>
        <w:t>Open Questions</w:t>
      </w:r>
    </w:p>
    <w:p>
      <w:pPr>
        <w:spacing w:before="280" w:after="80"/>
      </w:pPr>
      <w:r>
        <w:rPr>
          <w:b/>
          <w:i w:val="0"/>
          <w:color w:val="14352A"/>
          <w:sz w:val="28"/>
        </w:rPr>
        <w:t>1. Why There Is No BRD</w:t>
      </w:r>
    </w:p>
    <w:p>
      <w:pPr>
        <w:spacing w:after="120"/>
      </w:pPr>
      <w:r>
        <w:rPr>
          <w:b w:val="0"/>
          <w:i w:val="0"/>
          <w:sz w:val="20"/>
        </w:rPr>
        <w:t>This program produces no business requirements document, and the absence is a decision rather than an oversight.</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Question</w:t>
            </w:r>
          </w:p>
        </w:tc>
        <w:tc>
          <w:tcPr>
            <w:tcW w:type="dxa" w:w="4824"/>
            <w:shd w:val="clear" w:fill="14352A"/>
          </w:tcPr>
          <w:p>
            <w:pPr>
              <w:spacing w:before="40" w:after="40"/>
            </w:pPr>
            <w:r>
              <w:rPr>
                <w:b/>
                <w:i w:val="0"/>
                <w:color w:val="FFFFFF"/>
                <w:sz w:val="17"/>
              </w:rPr>
              <w:t>Which document answers it</w:t>
            </w:r>
          </w:p>
        </w:tc>
      </w:tr>
      <w:tr>
        <w:tc>
          <w:tcPr>
            <w:tcW w:type="dxa" w:w="4824"/>
          </w:tcPr>
          <w:p>
            <w:pPr>
              <w:spacing w:before="40" w:after="40"/>
            </w:pPr>
            <w:r>
              <w:rPr>
                <w:b w:val="0"/>
                <w:i w:val="0"/>
                <w:sz w:val="17"/>
              </w:rPr>
              <w:t>Why should the carrier build this at all?</w:t>
            </w:r>
          </w:p>
        </w:tc>
        <w:tc>
          <w:tcPr>
            <w:tcW w:type="dxa" w:w="4824"/>
          </w:tcPr>
          <w:p>
            <w:pPr>
              <w:spacing w:before="40" w:after="40"/>
            </w:pPr>
            <w:r>
              <w:rPr>
                <w:b w:val="0"/>
                <w:i w:val="0"/>
                <w:sz w:val="17"/>
              </w:rPr>
              <w:t>Gate 1 Business Case Package</w:t>
            </w:r>
            <w:r>
              <w:rPr>
                <w:b w:val="0"/>
                <w:i w:val="0"/>
                <w:sz w:val="17"/>
              </w:rPr>
              <w:t xml:space="preserve"> — market, economics, capital, dissent, the vote</w:t>
            </w:r>
          </w:p>
        </w:tc>
      </w:tr>
      <w:tr>
        <w:tc>
          <w:tcPr>
            <w:tcW w:type="dxa" w:w="4824"/>
          </w:tcPr>
          <w:p>
            <w:pPr>
              <w:spacing w:before="40" w:after="40"/>
            </w:pPr>
            <w:r>
              <w:rPr>
                <w:b w:val="0"/>
                <w:i w:val="0"/>
                <w:sz w:val="17"/>
              </w:rPr>
              <w:t>What exactly is being built?</w:t>
            </w:r>
          </w:p>
        </w:tc>
        <w:tc>
          <w:tcPr>
            <w:tcW w:type="dxa" w:w="4824"/>
          </w:tcPr>
          <w:p>
            <w:pPr>
              <w:spacing w:before="40" w:after="40"/>
            </w:pPr>
            <w:r>
              <w:rPr>
                <w:b/>
                <w:i w:val="0"/>
                <w:sz w:val="17"/>
              </w:rPr>
              <w:t>This document</w:t>
            </w:r>
          </w:p>
        </w:tc>
      </w:tr>
      <w:tr>
        <w:tc>
          <w:tcPr>
            <w:tcW w:type="dxa" w:w="4824"/>
          </w:tcPr>
          <w:p>
            <w:pPr>
              <w:spacing w:before="40" w:after="40"/>
            </w:pPr>
            <w:r>
              <w:rPr>
                <w:b w:val="0"/>
                <w:i w:val="0"/>
                <w:sz w:val="17"/>
              </w:rPr>
              <w:t>Does what was built match what was asked for?</w:t>
            </w:r>
          </w:p>
        </w:tc>
        <w:tc>
          <w:tcPr>
            <w:tcW w:type="dxa" w:w="4824"/>
          </w:tcPr>
          <w:p>
            <w:pPr>
              <w:spacing w:before="40" w:after="40"/>
            </w:pPr>
            <w:r>
              <w:rPr>
                <w:b w:val="0"/>
                <w:i w:val="0"/>
                <w:sz w:val="17"/>
              </w:rPr>
              <w:t>Requirements Traceability Matrix</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A BRD would sit between the first two and duplicate both.</w:t>
            </w:r>
            <w:r>
              <w:rPr>
                <w:b w:val="0"/>
                <w:i w:val="0"/>
                <w:sz w:val="20"/>
              </w:rPr>
              <w:t xml:space="preserve"> In practice it would restate the business case in requirement language and restate the requirements in business language, and the first time the two drifted apart nobody would know which was authoritative. The three documents above each answer exactly one question and none of them answers another's. </w:t>
            </w:r>
          </w:p>
        </w:tc>
      </w:tr>
    </w:tbl>
    <w:p/>
    <w:p>
      <w:pPr>
        <w:spacing w:before="280" w:after="80"/>
      </w:pPr>
      <w:r>
        <w:rPr>
          <w:b/>
          <w:i w:val="0"/>
          <w:color w:val="14352A"/>
          <w:sz w:val="28"/>
        </w:rPr>
        <w:t>2. Product Definition</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Attribute</w:t>
            </w:r>
          </w:p>
        </w:tc>
        <w:tc>
          <w:tcPr>
            <w:tcW w:type="dxa" w:w="4824"/>
            <w:shd w:val="clear" w:fill="14352A"/>
          </w:tcPr>
          <w:p>
            <w:pPr>
              <w:spacing w:before="40" w:after="40"/>
            </w:pPr>
            <w:r>
              <w:rPr>
                <w:b/>
                <w:i w:val="0"/>
                <w:color w:val="FFFFFF"/>
                <w:sz w:val="17"/>
              </w:rPr>
              <w:t>Definition</w:t>
            </w:r>
          </w:p>
        </w:tc>
      </w:tr>
      <w:tr>
        <w:tc>
          <w:tcPr>
            <w:tcW w:type="dxa" w:w="4824"/>
          </w:tcPr>
          <w:p>
            <w:pPr>
              <w:spacing w:before="40" w:after="40"/>
            </w:pPr>
            <w:r>
              <w:rPr>
                <w:b w:val="0"/>
                <w:i w:val="0"/>
                <w:sz w:val="17"/>
              </w:rPr>
              <w:t>Product type</w:t>
            </w:r>
          </w:p>
        </w:tc>
        <w:tc>
          <w:tcPr>
            <w:tcW w:type="dxa" w:w="4824"/>
          </w:tcPr>
          <w:p>
            <w:pPr>
              <w:spacing w:before="40" w:after="40"/>
            </w:pPr>
            <w:r>
              <w:rPr>
                <w:b w:val="0"/>
                <w:i w:val="0"/>
                <w:sz w:val="17"/>
              </w:rPr>
              <w:t xml:space="preserve">Single-premium deferred </w:t>
            </w:r>
            <w:r>
              <w:rPr>
                <w:b/>
                <w:i w:val="0"/>
                <w:sz w:val="17"/>
              </w:rPr>
              <w:t>fixed</w:t>
            </w:r>
            <w:r>
              <w:rPr>
                <w:b w:val="0"/>
                <w:i w:val="0"/>
                <w:sz w:val="17"/>
              </w:rPr>
              <w:t xml:space="preserve"> indexed annuity. State-filed, not registered (</w:t>
            </w:r>
            <w:r>
              <w:rPr>
                <w:b/>
                <w:i w:val="0"/>
                <w:sz w:val="17"/>
              </w:rPr>
              <w:t>D-01</w:t>
            </w:r>
            <w:r>
              <w:rPr>
                <w:b w:val="0"/>
                <w:i w:val="0"/>
                <w:sz w:val="17"/>
              </w:rPr>
              <w:t>).</w:t>
            </w:r>
          </w:p>
        </w:tc>
      </w:tr>
      <w:tr>
        <w:tc>
          <w:tcPr>
            <w:tcW w:type="dxa" w:w="4824"/>
          </w:tcPr>
          <w:p>
            <w:pPr>
              <w:spacing w:before="40" w:after="40"/>
            </w:pPr>
            <w:r>
              <w:rPr>
                <w:b w:val="0"/>
                <w:i w:val="0"/>
                <w:sz w:val="17"/>
              </w:rPr>
              <w:t>Rider</w:t>
            </w:r>
          </w:p>
        </w:tc>
        <w:tc>
          <w:tcPr>
            <w:tcW w:type="dxa" w:w="4824"/>
          </w:tcPr>
          <w:p>
            <w:pPr>
              <w:spacing w:before="40" w:after="40"/>
            </w:pPr>
            <w:r>
              <w:rPr>
                <w:b w:val="0"/>
                <w:i w:val="0"/>
                <w:sz w:val="17"/>
              </w:rPr>
              <w:t xml:space="preserve">Guaranteed lifetime withdrawal benefit, </w:t>
            </w:r>
            <w:r>
              <w:rPr>
                <w:b/>
                <w:i w:val="0"/>
                <w:sz w:val="17"/>
              </w:rPr>
              <w:t>optional</w:t>
            </w:r>
            <w:r>
              <w:rPr>
                <w:b w:val="0"/>
                <w:i w:val="0"/>
                <w:sz w:val="17"/>
              </w:rPr>
              <w:t xml:space="preserve"> at issue (</w:t>
            </w:r>
            <w:r>
              <w:rPr>
                <w:b/>
                <w:i w:val="0"/>
                <w:sz w:val="17"/>
              </w:rPr>
              <w:t>D-05</w:t>
            </w:r>
            <w:r>
              <w:rPr>
                <w:b w:val="0"/>
                <w:i w:val="0"/>
                <w:sz w:val="17"/>
              </w:rPr>
              <w:t>). Pricing assumes 62% election.</w:t>
            </w:r>
          </w:p>
        </w:tc>
      </w:tr>
      <w:tr>
        <w:tc>
          <w:tcPr>
            <w:tcW w:type="dxa" w:w="4824"/>
          </w:tcPr>
          <w:p>
            <w:pPr>
              <w:spacing w:before="40" w:after="40"/>
            </w:pPr>
            <w:r>
              <w:rPr>
                <w:b w:val="0"/>
                <w:i w:val="0"/>
                <w:sz w:val="17"/>
              </w:rPr>
              <w:t>Surrender charge</w:t>
            </w:r>
          </w:p>
        </w:tc>
        <w:tc>
          <w:tcPr>
            <w:tcW w:type="dxa" w:w="4824"/>
          </w:tcPr>
          <w:p>
            <w:pPr>
              <w:spacing w:before="40" w:after="40"/>
            </w:pPr>
            <w:r>
              <w:rPr>
                <w:b w:val="0"/>
                <w:i w:val="0"/>
                <w:sz w:val="17"/>
              </w:rPr>
              <w:t>Seven-year declining schedule.</w:t>
            </w:r>
          </w:p>
        </w:tc>
      </w:tr>
      <w:tr>
        <w:tc>
          <w:tcPr>
            <w:tcW w:type="dxa" w:w="4824"/>
          </w:tcPr>
          <w:p>
            <w:pPr>
              <w:spacing w:before="40" w:after="40"/>
            </w:pPr>
            <w:r>
              <w:rPr>
                <w:b w:val="0"/>
                <w:i w:val="0"/>
                <w:sz w:val="17"/>
              </w:rPr>
              <w:t>Crediting strategies</w:t>
            </w:r>
          </w:p>
        </w:tc>
        <w:tc>
          <w:tcPr>
            <w:tcW w:type="dxa" w:w="4824"/>
          </w:tcPr>
          <w:p>
            <w:pPr>
              <w:spacing w:before="40" w:after="40"/>
            </w:pPr>
            <w:r>
              <w:rPr>
                <w:b w:val="0"/>
                <w:i w:val="0"/>
                <w:sz w:val="17"/>
              </w:rPr>
              <w:t>Three at launch — see §4.</w:t>
            </w:r>
          </w:p>
        </w:tc>
      </w:tr>
      <w:tr>
        <w:tc>
          <w:tcPr>
            <w:tcW w:type="dxa" w:w="4824"/>
          </w:tcPr>
          <w:p>
            <w:pPr>
              <w:spacing w:before="40" w:after="40"/>
            </w:pPr>
            <w:r>
              <w:rPr>
                <w:b w:val="0"/>
                <w:i w:val="0"/>
                <w:sz w:val="17"/>
              </w:rPr>
              <w:t>Index</w:t>
            </w:r>
          </w:p>
        </w:tc>
        <w:tc>
          <w:tcPr>
            <w:tcW w:type="dxa" w:w="4824"/>
          </w:tcPr>
          <w:p>
            <w:pPr>
              <w:spacing w:before="40" w:after="40"/>
            </w:pPr>
            <w:r>
              <w:rPr>
                <w:b w:val="0"/>
                <w:i w:val="0"/>
                <w:sz w:val="17"/>
              </w:rPr>
              <w:t>Calder Balanced 5, under license (</w:t>
            </w:r>
            <w:r>
              <w:rPr>
                <w:b/>
                <w:i w:val="0"/>
                <w:sz w:val="17"/>
              </w:rPr>
              <w:t>DEP-04</w:t>
            </w:r>
            <w:r>
              <w:rPr>
                <w:b w:val="0"/>
                <w:i w:val="0"/>
                <w:sz w:val="17"/>
              </w:rPr>
              <w:t>).</w:t>
            </w:r>
          </w:p>
        </w:tc>
      </w:tr>
      <w:tr>
        <w:tc>
          <w:tcPr>
            <w:tcW w:type="dxa" w:w="4824"/>
          </w:tcPr>
          <w:p>
            <w:pPr>
              <w:spacing w:before="40" w:after="40"/>
            </w:pPr>
            <w:r>
              <w:rPr>
                <w:b w:val="0"/>
                <w:i w:val="0"/>
                <w:sz w:val="17"/>
              </w:rPr>
              <w:t>Target average case</w:t>
            </w:r>
          </w:p>
        </w:tc>
        <w:tc>
          <w:tcPr>
            <w:tcW w:type="dxa" w:w="4824"/>
          </w:tcPr>
          <w:p>
            <w:pPr>
              <w:spacing w:before="40" w:after="40"/>
            </w:pPr>
            <w:r>
              <w:rPr>
                <w:b w:val="0"/>
                <w:i w:val="0"/>
                <w:sz w:val="17"/>
              </w:rPr>
              <w:t>$118,000. A pricing and distribution assumption, not a contractual minimum.</w:t>
            </w:r>
          </w:p>
        </w:tc>
      </w:tr>
      <w:tr>
        <w:tc>
          <w:tcPr>
            <w:tcW w:type="dxa" w:w="4824"/>
          </w:tcPr>
          <w:p>
            <w:pPr>
              <w:spacing w:before="40" w:after="40"/>
            </w:pPr>
            <w:r>
              <w:rPr>
                <w:b w:val="0"/>
                <w:i w:val="0"/>
                <w:sz w:val="17"/>
              </w:rPr>
              <w:t>Launch footprint</w:t>
            </w:r>
          </w:p>
        </w:tc>
        <w:tc>
          <w:tcPr>
            <w:tcW w:type="dxa" w:w="4824"/>
          </w:tcPr>
          <w:p>
            <w:pPr>
              <w:spacing w:before="40" w:after="40"/>
            </w:pPr>
            <w:r>
              <w:rPr>
                <w:b w:val="0"/>
                <w:i w:val="0"/>
                <w:sz w:val="17"/>
              </w:rPr>
              <w:t xml:space="preserve">46 states. New York excluded — see the </w:t>
            </w:r>
            <w:r>
              <w:rPr>
                <w:b w:val="0"/>
                <w:i w:val="0"/>
                <w:sz w:val="17"/>
              </w:rPr>
              <w:t>Regulatory Filing Plan</w:t>
            </w:r>
            <w:r>
              <w:rPr>
                <w:b w:val="0"/>
                <w:i w:val="0"/>
                <w:sz w:val="17"/>
              </w:rPr>
              <w:t>.</w:t>
            </w:r>
          </w:p>
        </w:tc>
      </w:tr>
      <w:tr>
        <w:tc>
          <w:tcPr>
            <w:tcW w:type="dxa" w:w="4824"/>
          </w:tcPr>
          <w:p>
            <w:pPr>
              <w:spacing w:before="40" w:after="40"/>
            </w:pPr>
            <w:r>
              <w:rPr>
                <w:b w:val="0"/>
                <w:i w:val="0"/>
                <w:sz w:val="17"/>
              </w:rPr>
              <w:t>Distribution</w:t>
            </w:r>
          </w:p>
        </w:tc>
        <w:tc>
          <w:tcPr>
            <w:tcW w:type="dxa" w:w="4824"/>
          </w:tcPr>
          <w:p>
            <w:pPr>
              <w:spacing w:before="40" w:after="40"/>
            </w:pPr>
            <w:r>
              <w:rPr>
                <w:b w:val="0"/>
                <w:i w:val="0"/>
                <w:sz w:val="17"/>
              </w:rPr>
              <w:t>Existing IMO and broker-dealer relationships only (</w:t>
            </w:r>
            <w:r>
              <w:rPr>
                <w:b/>
                <w:i w:val="0"/>
                <w:sz w:val="17"/>
              </w:rPr>
              <w:t>A-05</w:t>
            </w:r>
            <w:r>
              <w:rPr>
                <w:b w:val="0"/>
                <w:i w:val="0"/>
                <w:sz w:val="17"/>
              </w:rPr>
              <w:t>). No new channel is built.</w:t>
            </w:r>
          </w:p>
        </w:tc>
      </w:tr>
    </w:tbl>
    <w:p/>
    <w:p>
      <w:pPr>
        <w:spacing w:before="280" w:after="80"/>
      </w:pPr>
      <w:r>
        <w:rPr>
          <w:b/>
          <w:i w:val="0"/>
          <w:color w:val="14352A"/>
          <w:sz w:val="28"/>
        </w:rPr>
        <w:t>3. Requirements by Area</w:t>
      </w:r>
    </w:p>
    <w:p>
      <w:pPr>
        <w:spacing w:after="120"/>
      </w:pPr>
      <w:r>
        <w:rPr>
          <w:b w:val="0"/>
          <w:i w:val="0"/>
          <w:sz w:val="20"/>
        </w:rPr>
        <w:t xml:space="preserve">The requirement set below is the same set the </w:t>
      </w:r>
      <w:r>
        <w:rPr>
          <w:b w:val="0"/>
          <w:i w:val="0"/>
          <w:sz w:val="20"/>
        </w:rPr>
        <w:t>Requirements Traceability Matrix</w:t>
      </w:r>
      <w:r>
        <w:rPr>
          <w:b w:val="0"/>
          <w:i w:val="0"/>
          <w:sz w:val="20"/>
        </w:rPr>
        <w:t xml:space="preserve"> traces — one list, read two ways. The </w:t>
      </w:r>
      <w:r>
        <w:rPr>
          <w:b/>
          <w:i w:val="0"/>
          <w:sz w:val="20"/>
        </w:rPr>
        <w:t>Authorized</w:t>
      </w:r>
      <w:r>
        <w:rPr>
          <w:b w:val="0"/>
          <w:i w:val="0"/>
          <w:sz w:val="20"/>
        </w:rPr>
        <w:t xml:space="preserve"> column records which gate released the funding for the stage that builds each item, because in this program a requirement does not exist until a gate has paid for it.</w:t>
      </w:r>
    </w:p>
    <w:p>
      <w:pPr>
        <w:spacing w:before="200" w:after="80"/>
      </w:pPr>
      <w:r>
        <w:rPr>
          <w:b/>
          <w:i w:val="0"/>
          <w:color w:val="14352A"/>
          <w:sz w:val="24"/>
        </w:rPr>
        <w:t>Product chassis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Requirement</w:t>
            </w:r>
          </w:p>
        </w:tc>
        <w:tc>
          <w:tcPr>
            <w:tcW w:type="dxa" w:w="1930"/>
            <w:shd w:val="clear" w:fill="14352A"/>
          </w:tcPr>
          <w:p>
            <w:pPr>
              <w:spacing w:before="40" w:after="40"/>
            </w:pPr>
            <w:r>
              <w:rPr>
                <w:b/>
                <w:i w:val="0"/>
                <w:color w:val="FFFFFF"/>
                <w:sz w:val="17"/>
              </w:rPr>
              <w:t>Source</w:t>
            </w:r>
          </w:p>
        </w:tc>
        <w:tc>
          <w:tcPr>
            <w:tcW w:type="dxa" w:w="1930"/>
            <w:shd w:val="clear" w:fill="14352A"/>
          </w:tcPr>
          <w:p>
            <w:pPr>
              <w:spacing w:before="40" w:after="40"/>
            </w:pPr>
            <w:r>
              <w:rPr>
                <w:b/>
                <w:i w:val="0"/>
                <w:color w:val="FFFFFF"/>
                <w:sz w:val="17"/>
              </w:rPr>
              <w:t>Authorized</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i w:val="0"/>
                <w:sz w:val="17"/>
              </w:rPr>
              <w:t>PR-01</w:t>
            </w:r>
          </w:p>
        </w:tc>
        <w:tc>
          <w:tcPr>
            <w:tcW w:type="dxa" w:w="1930"/>
          </w:tcPr>
          <w:p>
            <w:pPr>
              <w:spacing w:before="40" w:after="40"/>
            </w:pPr>
            <w:r>
              <w:rPr>
                <w:b w:val="0"/>
                <w:i w:val="0"/>
                <w:sz w:val="17"/>
              </w:rPr>
              <w:t>Single-premium deferred fixed indexed annuity chassis</w:t>
            </w:r>
          </w:p>
        </w:tc>
        <w:tc>
          <w:tcPr>
            <w:tcW w:type="dxa" w:w="1930"/>
          </w:tcPr>
          <w:p>
            <w:pPr>
              <w:spacing w:before="40" w:after="40"/>
            </w:pPr>
            <w:r>
              <w:rPr>
                <w:b w:val="0"/>
                <w:i w:val="0"/>
                <w:sz w:val="17"/>
              </w:rPr>
              <w:t>Gate 0 concept · D-01</w:t>
            </w:r>
          </w:p>
        </w:tc>
        <w:tc>
          <w:tcPr>
            <w:tcW w:type="dxa" w:w="1930"/>
          </w:tcPr>
          <w:p>
            <w:pPr>
              <w:spacing w:before="40" w:after="40"/>
            </w:pPr>
            <w:r>
              <w:rPr>
                <w:b w:val="0"/>
                <w:i w:val="0"/>
                <w:sz w:val="17"/>
              </w:rPr>
              <w:t>Gate 0</w:t>
            </w:r>
          </w:p>
        </w:tc>
        <w:tc>
          <w:tcPr>
            <w:tcW w:type="dxa" w:w="1930"/>
          </w:tcPr>
          <w:p>
            <w:pPr>
              <w:spacing w:before="40" w:after="40"/>
            </w:pPr>
            <w:r>
              <w:rPr>
                <w:b w:val="0"/>
                <w:i w:val="0"/>
                <w:sz w:val="17"/>
              </w:rPr>
              <w:t>In scope</w:t>
            </w:r>
          </w:p>
        </w:tc>
      </w:tr>
      <w:tr>
        <w:tc>
          <w:tcPr>
            <w:tcW w:type="dxa" w:w="1930"/>
          </w:tcPr>
          <w:p>
            <w:pPr>
              <w:spacing w:before="40" w:after="40"/>
            </w:pPr>
            <w:r>
              <w:rPr>
                <w:b/>
                <w:i w:val="0"/>
                <w:sz w:val="17"/>
              </w:rPr>
              <w:t>PR-02</w:t>
            </w:r>
          </w:p>
        </w:tc>
        <w:tc>
          <w:tcPr>
            <w:tcW w:type="dxa" w:w="1930"/>
          </w:tcPr>
          <w:p>
            <w:pPr>
              <w:spacing w:before="40" w:after="40"/>
            </w:pPr>
            <w:r>
              <w:rPr>
                <w:b w:val="0"/>
                <w:i w:val="0"/>
                <w:sz w:val="17"/>
              </w:rPr>
              <w:t>Seven-year declining surrender-charge schedule</w:t>
            </w:r>
          </w:p>
        </w:tc>
        <w:tc>
          <w:tcPr>
            <w:tcW w:type="dxa" w:w="1930"/>
          </w:tcPr>
          <w:p>
            <w:pPr>
              <w:spacing w:before="40" w:after="40"/>
            </w:pPr>
            <w:r>
              <w:rPr>
                <w:b w:val="0"/>
                <w:i w:val="0"/>
                <w:sz w:val="17"/>
              </w:rPr>
              <w:t>Gate 0 concept</w:t>
            </w:r>
          </w:p>
        </w:tc>
        <w:tc>
          <w:tcPr>
            <w:tcW w:type="dxa" w:w="1930"/>
          </w:tcPr>
          <w:p>
            <w:pPr>
              <w:spacing w:before="40" w:after="40"/>
            </w:pPr>
            <w:r>
              <w:rPr>
                <w:b w:val="0"/>
                <w:i w:val="0"/>
                <w:sz w:val="17"/>
              </w:rPr>
              <w:t>Gate 0</w:t>
            </w:r>
          </w:p>
        </w:tc>
        <w:tc>
          <w:tcPr>
            <w:tcW w:type="dxa" w:w="1930"/>
          </w:tcPr>
          <w:p>
            <w:pPr>
              <w:spacing w:before="40" w:after="40"/>
            </w:pPr>
            <w:r>
              <w:rPr>
                <w:b w:val="0"/>
                <w:i w:val="0"/>
                <w:sz w:val="17"/>
              </w:rPr>
              <w:t>In scope</w:t>
            </w:r>
          </w:p>
        </w:tc>
      </w:tr>
    </w:tbl>
    <w:p/>
    <w:p>
      <w:pPr>
        <w:spacing w:before="200" w:after="80"/>
      </w:pPr>
      <w:r>
        <w:rPr>
          <w:b/>
          <w:i w:val="0"/>
          <w:color w:val="14352A"/>
          <w:sz w:val="24"/>
        </w:rPr>
        <w:t>Rider</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Requirement</w:t>
            </w:r>
          </w:p>
        </w:tc>
        <w:tc>
          <w:tcPr>
            <w:tcW w:type="dxa" w:w="1930"/>
            <w:shd w:val="clear" w:fill="14352A"/>
          </w:tcPr>
          <w:p>
            <w:pPr>
              <w:spacing w:before="40" w:after="40"/>
            </w:pPr>
            <w:r>
              <w:rPr>
                <w:b/>
                <w:i w:val="0"/>
                <w:color w:val="FFFFFF"/>
                <w:sz w:val="17"/>
              </w:rPr>
              <w:t>Source</w:t>
            </w:r>
          </w:p>
        </w:tc>
        <w:tc>
          <w:tcPr>
            <w:tcW w:type="dxa" w:w="1930"/>
            <w:shd w:val="clear" w:fill="14352A"/>
          </w:tcPr>
          <w:p>
            <w:pPr>
              <w:spacing w:before="40" w:after="40"/>
            </w:pPr>
            <w:r>
              <w:rPr>
                <w:b/>
                <w:i w:val="0"/>
                <w:color w:val="FFFFFF"/>
                <w:sz w:val="17"/>
              </w:rPr>
              <w:t>Authorized</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i w:val="0"/>
                <w:sz w:val="17"/>
              </w:rPr>
              <w:t>PR-03</w:t>
            </w:r>
          </w:p>
        </w:tc>
        <w:tc>
          <w:tcPr>
            <w:tcW w:type="dxa" w:w="1930"/>
          </w:tcPr>
          <w:p>
            <w:pPr>
              <w:spacing w:before="40" w:after="40"/>
            </w:pPr>
            <w:r>
              <w:rPr>
                <w:b w:val="0"/>
                <w:i w:val="0"/>
                <w:sz w:val="17"/>
              </w:rPr>
              <w:t>Optional GLWB rider (not embedded)</w:t>
            </w:r>
          </w:p>
        </w:tc>
        <w:tc>
          <w:tcPr>
            <w:tcW w:type="dxa" w:w="1930"/>
          </w:tcPr>
          <w:p>
            <w:pPr>
              <w:spacing w:before="40" w:after="40"/>
            </w:pPr>
            <w:r>
              <w:rPr>
                <w:b w:val="0"/>
                <w:i w:val="0"/>
                <w:sz w:val="17"/>
              </w:rPr>
              <w:t>D-05</w:t>
            </w:r>
          </w:p>
        </w:tc>
        <w:tc>
          <w:tcPr>
            <w:tcW w:type="dxa" w:w="1930"/>
          </w:tcPr>
          <w:p>
            <w:pPr>
              <w:spacing w:before="40" w:after="40"/>
            </w:pPr>
            <w:r>
              <w:rPr>
                <w:b w:val="0"/>
                <w:i w:val="0"/>
                <w:sz w:val="17"/>
              </w:rPr>
              <w:t>Gate 0</w:t>
            </w:r>
          </w:p>
        </w:tc>
        <w:tc>
          <w:tcPr>
            <w:tcW w:type="dxa" w:w="1930"/>
          </w:tcPr>
          <w:p>
            <w:pPr>
              <w:spacing w:before="40" w:after="40"/>
            </w:pPr>
            <w:r>
              <w:rPr>
                <w:b w:val="0"/>
                <w:i w:val="0"/>
                <w:sz w:val="17"/>
              </w:rPr>
              <w:t>In scope</w:t>
            </w:r>
          </w:p>
        </w:tc>
      </w:tr>
    </w:tbl>
    <w:p/>
    <w:p>
      <w:pPr>
        <w:spacing w:before="200" w:after="80"/>
      </w:pPr>
      <w:r>
        <w:rPr>
          <w:b/>
          <w:i w:val="0"/>
          <w:color w:val="14352A"/>
          <w:sz w:val="24"/>
        </w:rPr>
        <w:t>Crediting strategies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Requirement</w:t>
            </w:r>
          </w:p>
        </w:tc>
        <w:tc>
          <w:tcPr>
            <w:tcW w:type="dxa" w:w="1930"/>
            <w:shd w:val="clear" w:fill="14352A"/>
          </w:tcPr>
          <w:p>
            <w:pPr>
              <w:spacing w:before="40" w:after="40"/>
            </w:pPr>
            <w:r>
              <w:rPr>
                <w:b/>
                <w:i w:val="0"/>
                <w:color w:val="FFFFFF"/>
                <w:sz w:val="17"/>
              </w:rPr>
              <w:t>Source</w:t>
            </w:r>
          </w:p>
        </w:tc>
        <w:tc>
          <w:tcPr>
            <w:tcW w:type="dxa" w:w="1930"/>
            <w:shd w:val="clear" w:fill="14352A"/>
          </w:tcPr>
          <w:p>
            <w:pPr>
              <w:spacing w:before="40" w:after="40"/>
            </w:pPr>
            <w:r>
              <w:rPr>
                <w:b/>
                <w:i w:val="0"/>
                <w:color w:val="FFFFFF"/>
                <w:sz w:val="17"/>
              </w:rPr>
              <w:t>Authorized</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i w:val="0"/>
                <w:sz w:val="17"/>
              </w:rPr>
              <w:t>PR-04</w:t>
            </w:r>
          </w:p>
        </w:tc>
        <w:tc>
          <w:tcPr>
            <w:tcW w:type="dxa" w:w="1930"/>
          </w:tcPr>
          <w:p>
            <w:pPr>
              <w:spacing w:before="40" w:after="40"/>
            </w:pPr>
            <w:r>
              <w:rPr>
                <w:b w:val="0"/>
                <w:i w:val="0"/>
                <w:sz w:val="17"/>
              </w:rPr>
              <w:t>Fixed account crediting strategy</w:t>
            </w:r>
          </w:p>
        </w:tc>
        <w:tc>
          <w:tcPr>
            <w:tcW w:type="dxa" w:w="1930"/>
          </w:tcPr>
          <w:p>
            <w:pPr>
              <w:spacing w:before="40" w:after="40"/>
            </w:pPr>
            <w:r>
              <w:rPr>
                <w:b w:val="0"/>
                <w:i w:val="0"/>
                <w:sz w:val="17"/>
              </w:rPr>
              <w:t>D-03 launch set</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r>
        <w:tc>
          <w:tcPr>
            <w:tcW w:type="dxa" w:w="1930"/>
          </w:tcPr>
          <w:p>
            <w:pPr>
              <w:spacing w:before="40" w:after="40"/>
            </w:pPr>
            <w:r>
              <w:rPr>
                <w:b/>
                <w:i w:val="0"/>
                <w:sz w:val="17"/>
              </w:rPr>
              <w:t>PR-05</w:t>
            </w:r>
          </w:p>
        </w:tc>
        <w:tc>
          <w:tcPr>
            <w:tcW w:type="dxa" w:w="1930"/>
          </w:tcPr>
          <w:p>
            <w:pPr>
              <w:spacing w:before="40" w:after="40"/>
            </w:pPr>
            <w:r>
              <w:rPr>
                <w:b w:val="0"/>
                <w:i w:val="0"/>
                <w:sz w:val="17"/>
              </w:rPr>
              <w:t>One-year point-to-point on the Calder Balanced 5, capped</w:t>
            </w:r>
          </w:p>
        </w:tc>
        <w:tc>
          <w:tcPr>
            <w:tcW w:type="dxa" w:w="1930"/>
          </w:tcPr>
          <w:p>
            <w:pPr>
              <w:spacing w:before="40" w:after="40"/>
            </w:pPr>
            <w:r>
              <w:rPr>
                <w:b w:val="0"/>
                <w:i w:val="0"/>
                <w:sz w:val="17"/>
              </w:rPr>
              <w:t>D-03 launch set · DEP-04</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r>
        <w:tc>
          <w:tcPr>
            <w:tcW w:type="dxa" w:w="1930"/>
          </w:tcPr>
          <w:p>
            <w:pPr>
              <w:spacing w:before="40" w:after="40"/>
            </w:pPr>
            <w:r>
              <w:rPr>
                <w:b/>
                <w:i w:val="0"/>
                <w:sz w:val="17"/>
              </w:rPr>
              <w:t>PR-06</w:t>
            </w:r>
          </w:p>
        </w:tc>
        <w:tc>
          <w:tcPr>
            <w:tcW w:type="dxa" w:w="1930"/>
          </w:tcPr>
          <w:p>
            <w:pPr>
              <w:spacing w:before="40" w:after="40"/>
            </w:pPr>
            <w:r>
              <w:rPr>
                <w:b w:val="0"/>
                <w:i w:val="0"/>
                <w:sz w:val="17"/>
              </w:rPr>
              <w:t>One-year performance-triggered crediting strategy</w:t>
            </w:r>
          </w:p>
        </w:tc>
        <w:tc>
          <w:tcPr>
            <w:tcW w:type="dxa" w:w="1930"/>
          </w:tcPr>
          <w:p>
            <w:pPr>
              <w:spacing w:before="40" w:after="40"/>
            </w:pPr>
            <w:r>
              <w:rPr>
                <w:b w:val="0"/>
                <w:i w:val="0"/>
                <w:sz w:val="17"/>
              </w:rPr>
              <w:t>D-03 launch set</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bl>
    <w:p/>
    <w:p>
      <w:pPr>
        <w:spacing w:before="200" w:after="80"/>
      </w:pPr>
      <w:r>
        <w:rPr>
          <w:b/>
          <w:i w:val="0"/>
          <w:color w:val="14352A"/>
          <w:sz w:val="24"/>
        </w:rPr>
        <w:t>Regulatory footprint</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Requirement</w:t>
            </w:r>
          </w:p>
        </w:tc>
        <w:tc>
          <w:tcPr>
            <w:tcW w:type="dxa" w:w="1930"/>
            <w:shd w:val="clear" w:fill="14352A"/>
          </w:tcPr>
          <w:p>
            <w:pPr>
              <w:spacing w:before="40" w:after="40"/>
            </w:pPr>
            <w:r>
              <w:rPr>
                <w:b/>
                <w:i w:val="0"/>
                <w:color w:val="FFFFFF"/>
                <w:sz w:val="17"/>
              </w:rPr>
              <w:t>Source</w:t>
            </w:r>
          </w:p>
        </w:tc>
        <w:tc>
          <w:tcPr>
            <w:tcW w:type="dxa" w:w="1930"/>
            <w:shd w:val="clear" w:fill="14352A"/>
          </w:tcPr>
          <w:p>
            <w:pPr>
              <w:spacing w:before="40" w:after="40"/>
            </w:pPr>
            <w:r>
              <w:rPr>
                <w:b/>
                <w:i w:val="0"/>
                <w:color w:val="FFFFFF"/>
                <w:sz w:val="17"/>
              </w:rPr>
              <w:t>Authorized</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i w:val="0"/>
                <w:sz w:val="17"/>
              </w:rPr>
              <w:t>PR-09</w:t>
            </w:r>
          </w:p>
        </w:tc>
        <w:tc>
          <w:tcPr>
            <w:tcW w:type="dxa" w:w="1930"/>
          </w:tcPr>
          <w:p>
            <w:pPr>
              <w:spacing w:before="40" w:after="40"/>
            </w:pPr>
            <w:r>
              <w:rPr>
                <w:b w:val="0"/>
                <w:i w:val="0"/>
                <w:sz w:val="17"/>
              </w:rPr>
              <w:t>Compact-route filing across member states</w:t>
            </w:r>
          </w:p>
        </w:tc>
        <w:tc>
          <w:tcPr>
            <w:tcW w:type="dxa" w:w="1930"/>
          </w:tcPr>
          <w:p>
            <w:pPr>
              <w:spacing w:before="40" w:after="40"/>
            </w:pPr>
            <w:r>
              <w:rPr>
                <w:b w:val="0"/>
                <w:i w:val="0"/>
                <w:sz w:val="17"/>
              </w:rPr>
              <w:t>D-06 · A-02</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r>
        <w:tc>
          <w:tcPr>
            <w:tcW w:type="dxa" w:w="1930"/>
          </w:tcPr>
          <w:p>
            <w:pPr>
              <w:spacing w:before="40" w:after="40"/>
            </w:pPr>
            <w:r>
              <w:rPr>
                <w:b/>
                <w:i w:val="0"/>
                <w:sz w:val="17"/>
              </w:rPr>
              <w:t>PR-10</w:t>
            </w:r>
          </w:p>
        </w:tc>
        <w:tc>
          <w:tcPr>
            <w:tcW w:type="dxa" w:w="1930"/>
          </w:tcPr>
          <w:p>
            <w:pPr>
              <w:spacing w:before="40" w:after="40"/>
            </w:pPr>
            <w:r>
              <w:rPr>
                <w:b w:val="0"/>
                <w:i w:val="0"/>
                <w:sz w:val="17"/>
              </w:rPr>
              <w:t>Separate SERFF filings for California and Florida</w:t>
            </w:r>
          </w:p>
        </w:tc>
        <w:tc>
          <w:tcPr>
            <w:tcW w:type="dxa" w:w="1930"/>
          </w:tcPr>
          <w:p>
            <w:pPr>
              <w:spacing w:before="40" w:after="40"/>
            </w:pPr>
            <w:r>
              <w:rPr>
                <w:b w:val="0"/>
                <w:i w:val="0"/>
                <w:sz w:val="17"/>
              </w:rPr>
              <w:t>D-06 · DEP-02</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r>
        <w:tc>
          <w:tcPr>
            <w:tcW w:type="dxa" w:w="1930"/>
          </w:tcPr>
          <w:p>
            <w:pPr>
              <w:spacing w:before="40" w:after="40"/>
            </w:pPr>
            <w:r>
              <w:rPr>
                <w:b/>
                <w:i w:val="0"/>
                <w:sz w:val="17"/>
              </w:rPr>
              <w:t>PR-11</w:t>
            </w:r>
          </w:p>
        </w:tc>
        <w:tc>
          <w:tcPr>
            <w:tcW w:type="dxa" w:w="1930"/>
          </w:tcPr>
          <w:p>
            <w:pPr>
              <w:spacing w:before="40" w:after="40"/>
            </w:pPr>
            <w:r>
              <w:rPr>
                <w:b w:val="0"/>
                <w:i w:val="0"/>
                <w:sz w:val="17"/>
              </w:rPr>
              <w:t>New York excluded from launch scope</w:t>
            </w:r>
          </w:p>
        </w:tc>
        <w:tc>
          <w:tcPr>
            <w:tcW w:type="dxa" w:w="1930"/>
          </w:tcPr>
          <w:p>
            <w:pPr>
              <w:spacing w:before="40" w:after="40"/>
            </w:pPr>
            <w:r>
              <w:rPr>
                <w:b w:val="0"/>
                <w:i w:val="0"/>
                <w:sz w:val="17"/>
              </w:rPr>
              <w:t>A-03 · D-02 · GC-02</w:t>
            </w:r>
          </w:p>
        </w:tc>
        <w:tc>
          <w:tcPr>
            <w:tcW w:type="dxa" w:w="1930"/>
          </w:tcPr>
          <w:p>
            <w:pPr>
              <w:spacing w:before="40" w:after="40"/>
            </w:pPr>
            <w:r>
              <w:rPr>
                <w:b w:val="0"/>
                <w:i w:val="0"/>
                <w:sz w:val="17"/>
              </w:rPr>
              <w:t>Gate 1</w:t>
            </w:r>
          </w:p>
        </w:tc>
        <w:tc>
          <w:tcPr>
            <w:tcW w:type="dxa" w:w="1930"/>
          </w:tcPr>
          <w:p>
            <w:pPr>
              <w:spacing w:before="40" w:after="40"/>
            </w:pPr>
            <w:r>
              <w:rPr>
                <w:b w:val="0"/>
                <w:i w:val="0"/>
                <w:sz w:val="17"/>
              </w:rPr>
              <w:t>Excluded</w:t>
            </w:r>
          </w:p>
        </w:tc>
      </w:tr>
      <w:tr>
        <w:tc>
          <w:tcPr>
            <w:tcW w:type="dxa" w:w="1930"/>
          </w:tcPr>
          <w:p>
            <w:pPr>
              <w:spacing w:before="40" w:after="40"/>
            </w:pPr>
            <w:r>
              <w:rPr>
                <w:b/>
                <w:i w:val="0"/>
                <w:sz w:val="17"/>
              </w:rPr>
              <w:t>PR-12</w:t>
            </w:r>
          </w:p>
        </w:tc>
        <w:tc>
          <w:tcPr>
            <w:tcW w:type="dxa" w:w="1930"/>
          </w:tcPr>
          <w:p>
            <w:pPr>
              <w:spacing w:before="40" w:after="40"/>
            </w:pPr>
            <w:r>
              <w:rPr>
                <w:b w:val="0"/>
                <w:i w:val="0"/>
                <w:sz w:val="17"/>
              </w:rPr>
              <w:t>Compliant hypothetical performance illustrations</w:t>
            </w:r>
          </w:p>
        </w:tc>
        <w:tc>
          <w:tcPr>
            <w:tcW w:type="dxa" w:w="1930"/>
          </w:tcPr>
          <w:p>
            <w:pPr>
              <w:spacing w:before="40" w:after="40"/>
            </w:pPr>
            <w:r>
              <w:rPr>
                <w:b w:val="0"/>
                <w:i w:val="0"/>
                <w:sz w:val="17"/>
              </w:rPr>
              <w:t>NAIC #275 · R-08</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r>
        <w:tc>
          <w:tcPr>
            <w:tcW w:type="dxa" w:w="1930"/>
          </w:tcPr>
          <w:p>
            <w:pPr>
              <w:spacing w:before="40" w:after="40"/>
            </w:pPr>
            <w:r>
              <w:rPr>
                <w:b/>
                <w:i w:val="0"/>
                <w:sz w:val="17"/>
              </w:rPr>
              <w:t>PR-13</w:t>
            </w:r>
          </w:p>
        </w:tc>
        <w:tc>
          <w:tcPr>
            <w:tcW w:type="dxa" w:w="1930"/>
          </w:tcPr>
          <w:p>
            <w:pPr>
              <w:spacing w:before="40" w:after="40"/>
            </w:pPr>
            <w:r>
              <w:rPr>
                <w:b w:val="0"/>
                <w:i w:val="0"/>
                <w:sz w:val="17"/>
              </w:rPr>
              <w:t>Suitability and best-interest advisor training</w:t>
            </w:r>
          </w:p>
        </w:tc>
        <w:tc>
          <w:tcPr>
            <w:tcW w:type="dxa" w:w="1930"/>
          </w:tcPr>
          <w:p>
            <w:pPr>
              <w:spacing w:before="40" w:after="40"/>
            </w:pPr>
            <w:r>
              <w:rPr>
                <w:b w:val="0"/>
                <w:i w:val="0"/>
                <w:sz w:val="17"/>
              </w:rPr>
              <w:t>NAIC Model Reg #275</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bl>
    <w:p/>
    <w:p>
      <w:pPr>
        <w:spacing w:before="200" w:after="80"/>
      </w:pPr>
      <w:r>
        <w:rPr>
          <w:b/>
          <w:i w:val="0"/>
          <w:color w:val="14352A"/>
          <w:sz w:val="24"/>
        </w:rPr>
        <w:t>Risk and capital</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Requirement</w:t>
            </w:r>
          </w:p>
        </w:tc>
        <w:tc>
          <w:tcPr>
            <w:tcW w:type="dxa" w:w="1930"/>
            <w:shd w:val="clear" w:fill="14352A"/>
          </w:tcPr>
          <w:p>
            <w:pPr>
              <w:spacing w:before="40" w:after="40"/>
            </w:pPr>
            <w:r>
              <w:rPr>
                <w:b/>
                <w:i w:val="0"/>
                <w:color w:val="FFFFFF"/>
                <w:sz w:val="17"/>
              </w:rPr>
              <w:t>Source</w:t>
            </w:r>
          </w:p>
        </w:tc>
        <w:tc>
          <w:tcPr>
            <w:tcW w:type="dxa" w:w="1930"/>
            <w:shd w:val="clear" w:fill="14352A"/>
          </w:tcPr>
          <w:p>
            <w:pPr>
              <w:spacing w:before="40" w:after="40"/>
            </w:pPr>
            <w:r>
              <w:rPr>
                <w:b/>
                <w:i w:val="0"/>
                <w:color w:val="FFFFFF"/>
                <w:sz w:val="17"/>
              </w:rPr>
              <w:t>Authorized</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i w:val="0"/>
                <w:sz w:val="17"/>
              </w:rPr>
              <w:t>PR-14</w:t>
            </w:r>
          </w:p>
        </w:tc>
        <w:tc>
          <w:tcPr>
            <w:tcW w:type="dxa" w:w="1930"/>
          </w:tcPr>
          <w:p>
            <w:pPr>
              <w:spacing w:before="40" w:after="40"/>
            </w:pPr>
            <w:r>
              <w:rPr>
                <w:b w:val="0"/>
                <w:i w:val="0"/>
                <w:sz w:val="17"/>
              </w:rPr>
              <w:t>In-house hedging of the GLWB guarantee</w:t>
            </w:r>
          </w:p>
        </w:tc>
        <w:tc>
          <w:tcPr>
            <w:tcW w:type="dxa" w:w="1930"/>
          </w:tcPr>
          <w:p>
            <w:pPr>
              <w:spacing w:before="40" w:after="40"/>
            </w:pPr>
            <w:r>
              <w:rPr>
                <w:b w:val="0"/>
                <w:i w:val="0"/>
                <w:sz w:val="17"/>
              </w:rPr>
              <w:t>D-08 · A-06</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 — at risk</w:t>
            </w:r>
          </w:p>
        </w:tc>
      </w:tr>
      <w:tr>
        <w:tc>
          <w:tcPr>
            <w:tcW w:type="dxa" w:w="1930"/>
          </w:tcPr>
          <w:p>
            <w:pPr>
              <w:spacing w:before="40" w:after="40"/>
            </w:pPr>
            <w:r>
              <w:rPr>
                <w:b/>
                <w:i w:val="0"/>
                <w:sz w:val="17"/>
              </w:rPr>
              <w:t>PR-16</w:t>
            </w:r>
          </w:p>
        </w:tc>
        <w:tc>
          <w:tcPr>
            <w:tcW w:type="dxa" w:w="1930"/>
          </w:tcPr>
          <w:p>
            <w:pPr>
              <w:spacing w:before="40" w:after="40"/>
            </w:pPr>
            <w:r>
              <w:rPr>
                <w:b w:val="0"/>
                <w:i w:val="0"/>
                <w:sz w:val="17"/>
              </w:rPr>
              <w:t>GLWB risk transfer via reinsurance</w:t>
            </w:r>
          </w:p>
        </w:tc>
        <w:tc>
          <w:tcPr>
            <w:tcW w:type="dxa" w:w="1930"/>
          </w:tcPr>
          <w:p>
            <w:pPr>
              <w:spacing w:before="40" w:after="40"/>
            </w:pPr>
            <w:r>
              <w:rPr>
                <w:b w:val="0"/>
                <w:i w:val="0"/>
                <w:sz w:val="17"/>
              </w:rPr>
              <w:t>DEP-05</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bl>
    <w:p/>
    <w:p>
      <w:pPr>
        <w:spacing w:before="200" w:after="80"/>
      </w:pPr>
      <w:r>
        <w:rPr>
          <w:b/>
          <w:i w:val="0"/>
          <w:color w:val="14352A"/>
          <w:sz w:val="24"/>
        </w:rPr>
        <w:t>Platform and operations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Requirement</w:t>
            </w:r>
          </w:p>
        </w:tc>
        <w:tc>
          <w:tcPr>
            <w:tcW w:type="dxa" w:w="1930"/>
            <w:shd w:val="clear" w:fill="14352A"/>
          </w:tcPr>
          <w:p>
            <w:pPr>
              <w:spacing w:before="40" w:after="40"/>
            </w:pPr>
            <w:r>
              <w:rPr>
                <w:b/>
                <w:i w:val="0"/>
                <w:color w:val="FFFFFF"/>
                <w:sz w:val="17"/>
              </w:rPr>
              <w:t>Source</w:t>
            </w:r>
          </w:p>
        </w:tc>
        <w:tc>
          <w:tcPr>
            <w:tcW w:type="dxa" w:w="1930"/>
            <w:shd w:val="clear" w:fill="14352A"/>
          </w:tcPr>
          <w:p>
            <w:pPr>
              <w:spacing w:before="40" w:after="40"/>
            </w:pPr>
            <w:r>
              <w:rPr>
                <w:b/>
                <w:i w:val="0"/>
                <w:color w:val="FFFFFF"/>
                <w:sz w:val="17"/>
              </w:rPr>
              <w:t>Authorized</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i w:val="0"/>
                <w:sz w:val="17"/>
              </w:rPr>
              <w:t>PR-15</w:t>
            </w:r>
          </w:p>
        </w:tc>
        <w:tc>
          <w:tcPr>
            <w:tcW w:type="dxa" w:w="1930"/>
          </w:tcPr>
          <w:p>
            <w:pPr>
              <w:spacing w:before="40" w:after="40"/>
            </w:pPr>
            <w:r>
              <w:rPr>
                <w:b w:val="0"/>
                <w:i w:val="0"/>
                <w:sz w:val="17"/>
              </w:rPr>
              <w:t>Extension of the incumbent admin platform (no new system)</w:t>
            </w:r>
          </w:p>
        </w:tc>
        <w:tc>
          <w:tcPr>
            <w:tcW w:type="dxa" w:w="1930"/>
          </w:tcPr>
          <w:p>
            <w:pPr>
              <w:spacing w:before="40" w:after="40"/>
            </w:pPr>
            <w:r>
              <w:rPr>
                <w:b w:val="0"/>
                <w:i w:val="0"/>
                <w:sz w:val="17"/>
              </w:rPr>
              <w:t>D-07 · A-04</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r>
        <w:tc>
          <w:tcPr>
            <w:tcW w:type="dxa" w:w="1930"/>
          </w:tcPr>
          <w:p>
            <w:pPr>
              <w:spacing w:before="40" w:after="40"/>
            </w:pPr>
            <w:r>
              <w:rPr>
                <w:b/>
                <w:i w:val="0"/>
                <w:sz w:val="17"/>
              </w:rPr>
              <w:t>PR-17</w:t>
            </w:r>
          </w:p>
        </w:tc>
        <w:tc>
          <w:tcPr>
            <w:tcW w:type="dxa" w:w="1930"/>
          </w:tcPr>
          <w:p>
            <w:pPr>
              <w:spacing w:before="40" w:after="40"/>
            </w:pPr>
            <w:r>
              <w:rPr>
                <w:b w:val="0"/>
                <w:i w:val="0"/>
                <w:sz w:val="17"/>
              </w:rPr>
              <w:t>New business issue and policyholder servicing capability</w:t>
            </w:r>
          </w:p>
        </w:tc>
        <w:tc>
          <w:tcPr>
            <w:tcW w:type="dxa" w:w="1930"/>
          </w:tcPr>
          <w:p>
            <w:pPr>
              <w:spacing w:before="40" w:after="40"/>
            </w:pPr>
            <w:r>
              <w:rPr>
                <w:b w:val="0"/>
                <w:i w:val="0"/>
                <w:sz w:val="17"/>
              </w:rPr>
              <w:t>Gate 1 scope</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bl>
    <w:p/>
    <w:p>
      <w:pPr>
        <w:spacing w:before="200" w:after="80"/>
      </w:pPr>
      <w:r>
        <w:rPr>
          <w:b/>
          <w:i w:val="0"/>
          <w:color w:val="14352A"/>
          <w:sz w:val="24"/>
        </w:rPr>
        <w:t>Distribution</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Requirement</w:t>
            </w:r>
          </w:p>
        </w:tc>
        <w:tc>
          <w:tcPr>
            <w:tcW w:type="dxa" w:w="1930"/>
            <w:shd w:val="clear" w:fill="14352A"/>
          </w:tcPr>
          <w:p>
            <w:pPr>
              <w:spacing w:before="40" w:after="40"/>
            </w:pPr>
            <w:r>
              <w:rPr>
                <w:b/>
                <w:i w:val="0"/>
                <w:color w:val="FFFFFF"/>
                <w:sz w:val="17"/>
              </w:rPr>
              <w:t>Source</w:t>
            </w:r>
          </w:p>
        </w:tc>
        <w:tc>
          <w:tcPr>
            <w:tcW w:type="dxa" w:w="1930"/>
            <w:shd w:val="clear" w:fill="14352A"/>
          </w:tcPr>
          <w:p>
            <w:pPr>
              <w:spacing w:before="40" w:after="40"/>
            </w:pPr>
            <w:r>
              <w:rPr>
                <w:b/>
                <w:i w:val="0"/>
                <w:color w:val="FFFFFF"/>
                <w:sz w:val="17"/>
              </w:rPr>
              <w:t>Authorized</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i w:val="0"/>
                <w:sz w:val="17"/>
              </w:rPr>
              <w:t>PR-18</w:t>
            </w:r>
          </w:p>
        </w:tc>
        <w:tc>
          <w:tcPr>
            <w:tcW w:type="dxa" w:w="1930"/>
          </w:tcPr>
          <w:p>
            <w:pPr>
              <w:spacing w:before="40" w:after="40"/>
            </w:pPr>
            <w:r>
              <w:rPr>
                <w:b w:val="0"/>
                <w:i w:val="0"/>
                <w:sz w:val="17"/>
              </w:rPr>
              <w:t>Distribution through existing IMO/BD relationships only</w:t>
            </w:r>
          </w:p>
        </w:tc>
        <w:tc>
          <w:tcPr>
            <w:tcW w:type="dxa" w:w="1930"/>
          </w:tcPr>
          <w:p>
            <w:pPr>
              <w:spacing w:before="40" w:after="40"/>
            </w:pPr>
            <w:r>
              <w:rPr>
                <w:b w:val="0"/>
                <w:i w:val="0"/>
                <w:sz w:val="17"/>
              </w:rPr>
              <w:t>A-05</w:t>
            </w:r>
          </w:p>
        </w:tc>
        <w:tc>
          <w:tcPr>
            <w:tcW w:type="dxa" w:w="1930"/>
          </w:tcPr>
          <w:p>
            <w:pPr>
              <w:spacing w:before="40" w:after="40"/>
            </w:pPr>
            <w:r>
              <w:rPr>
                <w:b w:val="0"/>
                <w:i w:val="0"/>
                <w:sz w:val="17"/>
              </w:rPr>
              <w:t>Gate 1</w:t>
            </w:r>
          </w:p>
        </w:tc>
        <w:tc>
          <w:tcPr>
            <w:tcW w:type="dxa" w:w="1930"/>
          </w:tcPr>
          <w:p>
            <w:pPr>
              <w:spacing w:before="40" w:after="40"/>
            </w:pPr>
            <w:r>
              <w:rPr>
                <w:b w:val="0"/>
                <w:i w:val="0"/>
                <w:sz w:val="17"/>
              </w:rPr>
              <w:t>In scope</w:t>
            </w:r>
          </w:p>
        </w:tc>
      </w:tr>
    </w:tbl>
    <w:p/>
    <w:p>
      <w:pPr>
        <w:spacing w:before="280" w:after="80"/>
      </w:pPr>
      <w:r>
        <w:rPr>
          <w:b/>
          <w:i w:val="0"/>
          <w:color w:val="14352A"/>
          <w:sz w:val="28"/>
        </w:rPr>
        <w:t>4. The Three Crediting Strategies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w:t>
            </w:r>
          </w:p>
        </w:tc>
        <w:tc>
          <w:tcPr>
            <w:tcW w:type="dxa" w:w="2412"/>
            <w:shd w:val="clear" w:fill="14352A"/>
          </w:tcPr>
          <w:p>
            <w:pPr>
              <w:spacing w:before="40" w:after="40"/>
            </w:pPr>
            <w:r>
              <w:rPr>
                <w:b/>
                <w:i w:val="0"/>
                <w:color w:val="FFFFFF"/>
                <w:sz w:val="17"/>
              </w:rPr>
              <w:t>Strategy</w:t>
            </w:r>
          </w:p>
        </w:tc>
        <w:tc>
          <w:tcPr>
            <w:tcW w:type="dxa" w:w="2412"/>
            <w:shd w:val="clear" w:fill="14352A"/>
          </w:tcPr>
          <w:p>
            <w:pPr>
              <w:spacing w:before="40" w:after="40"/>
            </w:pPr>
            <w:r>
              <w:rPr>
                <w:b/>
                <w:i w:val="0"/>
                <w:color w:val="FFFFFF"/>
                <w:sz w:val="17"/>
              </w:rPr>
              <w:t>ID</w:t>
            </w:r>
          </w:p>
        </w:tc>
        <w:tc>
          <w:tcPr>
            <w:tcW w:type="dxa" w:w="2412"/>
            <w:shd w:val="clear" w:fill="14352A"/>
          </w:tcPr>
          <w:p>
            <w:pPr>
              <w:spacing w:before="40" w:after="40"/>
            </w:pPr>
            <w:r>
              <w:rPr>
                <w:b/>
                <w:i w:val="0"/>
                <w:color w:val="FFFFFF"/>
                <w:sz w:val="17"/>
              </w:rPr>
              <w:t>Definition</w:t>
            </w:r>
          </w:p>
        </w:tc>
      </w:tr>
      <w:tr>
        <w:tc>
          <w:tcPr>
            <w:tcW w:type="dxa" w:w="2412"/>
          </w:tcPr>
          <w:p>
            <w:pPr>
              <w:spacing w:before="40" w:after="40"/>
            </w:pPr>
            <w:r>
              <w:rPr>
                <w:b/>
                <w:i w:val="0"/>
                <w:sz w:val="17"/>
              </w:rPr>
              <w:t>1</w:t>
            </w:r>
          </w:p>
        </w:tc>
        <w:tc>
          <w:tcPr>
            <w:tcW w:type="dxa" w:w="2412"/>
          </w:tcPr>
          <w:p>
            <w:pPr>
              <w:spacing w:before="40" w:after="40"/>
            </w:pPr>
            <w:r>
              <w:rPr>
                <w:b w:val="0"/>
                <w:i w:val="0"/>
                <w:sz w:val="17"/>
              </w:rPr>
              <w:t>Fixed account</w:t>
            </w:r>
          </w:p>
        </w:tc>
        <w:tc>
          <w:tcPr>
            <w:tcW w:type="dxa" w:w="2412"/>
          </w:tcPr>
          <w:p>
            <w:pPr>
              <w:spacing w:before="40" w:after="40"/>
            </w:pPr>
            <w:r>
              <w:rPr>
                <w:b w:val="0"/>
                <w:i w:val="0"/>
                <w:sz w:val="17"/>
              </w:rPr>
              <w:t>PR-04</w:t>
            </w:r>
          </w:p>
        </w:tc>
        <w:tc>
          <w:tcPr>
            <w:tcW w:type="dxa" w:w="2412"/>
          </w:tcPr>
          <w:p>
            <w:pPr>
              <w:spacing w:before="40" w:after="40"/>
            </w:pPr>
            <w:r>
              <w:rPr>
                <w:b w:val="0"/>
                <w:i w:val="0"/>
                <w:sz w:val="17"/>
              </w:rPr>
              <w:t>A declared-rate account with a guaranteed minimum. The floor of the product and the option a risk-averse buyer defaults to.</w:t>
            </w:r>
          </w:p>
        </w:tc>
      </w:tr>
      <w:tr>
        <w:tc>
          <w:tcPr>
            <w:tcW w:type="dxa" w:w="2412"/>
          </w:tcPr>
          <w:p>
            <w:pPr>
              <w:spacing w:before="40" w:after="40"/>
            </w:pPr>
            <w:r>
              <w:rPr>
                <w:b/>
                <w:i w:val="0"/>
                <w:sz w:val="17"/>
              </w:rPr>
              <w:t>2</w:t>
            </w:r>
          </w:p>
        </w:tc>
        <w:tc>
          <w:tcPr>
            <w:tcW w:type="dxa" w:w="2412"/>
          </w:tcPr>
          <w:p>
            <w:pPr>
              <w:spacing w:before="40" w:after="40"/>
            </w:pPr>
            <w:r>
              <w:rPr>
                <w:b w:val="0"/>
                <w:i w:val="0"/>
                <w:sz w:val="17"/>
              </w:rPr>
              <w:t>One-year point-to-point on the Calder Balanced 5, capped</w:t>
            </w:r>
          </w:p>
        </w:tc>
        <w:tc>
          <w:tcPr>
            <w:tcW w:type="dxa" w:w="2412"/>
          </w:tcPr>
          <w:p>
            <w:pPr>
              <w:spacing w:before="40" w:after="40"/>
            </w:pPr>
            <w:r>
              <w:rPr>
                <w:b w:val="0"/>
                <w:i w:val="0"/>
                <w:sz w:val="17"/>
              </w:rPr>
              <w:t>PR-05</w:t>
            </w:r>
          </w:p>
        </w:tc>
        <w:tc>
          <w:tcPr>
            <w:tcW w:type="dxa" w:w="2412"/>
          </w:tcPr>
          <w:p>
            <w:pPr>
              <w:spacing w:before="40" w:after="40"/>
            </w:pPr>
            <w:r>
              <w:rPr>
                <w:b w:val="0"/>
                <w:i w:val="0"/>
                <w:sz w:val="17"/>
              </w:rPr>
              <w:t>Index credit measured over a one-year term against a cap illustrated at 9.25%, with a competitive floor of 8.50% fixed at Gate 1. The strategy the product leads with and the one carrying the hedging load.</w:t>
            </w:r>
          </w:p>
        </w:tc>
      </w:tr>
      <w:tr>
        <w:tc>
          <w:tcPr>
            <w:tcW w:type="dxa" w:w="2412"/>
          </w:tcPr>
          <w:p>
            <w:pPr>
              <w:spacing w:before="40" w:after="40"/>
            </w:pPr>
            <w:r>
              <w:rPr>
                <w:b/>
                <w:i w:val="0"/>
                <w:sz w:val="17"/>
              </w:rPr>
              <w:t>3</w:t>
            </w:r>
          </w:p>
        </w:tc>
        <w:tc>
          <w:tcPr>
            <w:tcW w:type="dxa" w:w="2412"/>
          </w:tcPr>
          <w:p>
            <w:pPr>
              <w:spacing w:before="40" w:after="40"/>
            </w:pPr>
            <w:r>
              <w:rPr>
                <w:b w:val="0"/>
                <w:i w:val="0"/>
                <w:sz w:val="17"/>
              </w:rPr>
              <w:t>One-year performance-triggered</w:t>
            </w:r>
          </w:p>
        </w:tc>
        <w:tc>
          <w:tcPr>
            <w:tcW w:type="dxa" w:w="2412"/>
          </w:tcPr>
          <w:p>
            <w:pPr>
              <w:spacing w:before="40" w:after="40"/>
            </w:pPr>
            <w:r>
              <w:rPr>
                <w:b w:val="0"/>
                <w:i w:val="0"/>
                <w:sz w:val="17"/>
              </w:rPr>
              <w:t>PR-06</w:t>
            </w:r>
          </w:p>
        </w:tc>
        <w:tc>
          <w:tcPr>
            <w:tcW w:type="dxa" w:w="2412"/>
          </w:tcPr>
          <w:p>
            <w:pPr>
              <w:spacing w:before="40" w:after="40"/>
            </w:pPr>
            <w:r>
              <w:rPr>
                <w:b w:val="0"/>
                <w:i w:val="0"/>
                <w:sz w:val="17"/>
              </w:rPr>
              <w:t>Pays a declared rate if the index is flat or positive over the term and zero otherwise. Simpler to illustrate than a capped strategy and cheaper to hedge.</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Three strategies is a Gate 1 outcome, not an original design choice.</w:t>
            </w:r>
            <w:r>
              <w:rPr>
                <w:b w:val="0"/>
                <w:i w:val="0"/>
                <w:sz w:val="20"/>
              </w:rPr>
              <w:t xml:space="preserve"> The concept carried five. Two were withdrawn under </w:t>
            </w:r>
            <w:r>
              <w:rPr>
                <w:b/>
                <w:i w:val="0"/>
                <w:sz w:val="20"/>
              </w:rPr>
              <w:t>GC-01</w:t>
            </w:r>
            <w:r>
              <w:rPr>
                <w:b w:val="0"/>
                <w:i w:val="0"/>
                <w:sz w:val="20"/>
              </w:rPr>
              <w:t xml:space="preserve"> because the platform and the illustration engine could not support them, and the reduction is recorded in the traceability matrix as withdrawn rows rather than deletions. It has a consequence the Board was told about at the time and which has since been carried as risk </w:t>
            </w:r>
            <w:r>
              <w:rPr>
                <w:b/>
                <w:i w:val="0"/>
                <w:sz w:val="20"/>
              </w:rPr>
              <w:t>R-12</w:t>
            </w:r>
            <w:r>
              <w:rPr>
                <w:b w:val="0"/>
                <w:i w:val="0"/>
                <w:sz w:val="20"/>
              </w:rPr>
              <w:t xml:space="preserve">: with three strategies rather than five, demand concentrates, and hedging concentrates with it. </w:t>
            </w:r>
          </w:p>
        </w:tc>
      </w:tr>
    </w:tbl>
    <w:p/>
    <w:p>
      <w:pPr>
        <w:spacing w:before="280" w:after="80"/>
      </w:pPr>
      <w:r>
        <w:rPr>
          <w:b/>
          <w:i w:val="0"/>
          <w:color w:val="14352A"/>
          <w:sz w:val="28"/>
        </w:rPr>
        <w:t>5. Deliberately Out of Scope</w:t>
      </w:r>
    </w:p>
    <w:p>
      <w:pPr>
        <w:spacing w:after="120"/>
      </w:pPr>
      <w:r>
        <w:rPr>
          <w:b w:val="0"/>
          <w:i w:val="0"/>
          <w:sz w:val="20"/>
        </w:rPr>
        <w:t>A requirements document that lists only what is in scope invites the reader to assume everything else was forgotten.</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Not in scope</w:t>
            </w:r>
          </w:p>
        </w:tc>
        <w:tc>
          <w:tcPr>
            <w:tcW w:type="dxa" w:w="3216"/>
            <w:shd w:val="clear" w:fill="14352A"/>
          </w:tcPr>
          <w:p>
            <w:pPr>
              <w:spacing w:before="40" w:after="40"/>
            </w:pPr>
            <w:r>
              <w:rPr>
                <w:b/>
                <w:i w:val="0"/>
                <w:color w:val="FFFFFF"/>
                <w:sz w:val="17"/>
              </w:rPr>
              <w:t>Why</w:t>
            </w:r>
          </w:p>
        </w:tc>
        <w:tc>
          <w:tcPr>
            <w:tcW w:type="dxa" w:w="3216"/>
            <w:shd w:val="clear" w:fill="14352A"/>
          </w:tcPr>
          <w:p>
            <w:pPr>
              <w:spacing w:before="40" w:after="40"/>
            </w:pPr>
            <w:r>
              <w:rPr>
                <w:b/>
                <w:i w:val="0"/>
                <w:color w:val="FFFFFF"/>
                <w:sz w:val="17"/>
              </w:rPr>
              <w:t>Recorded as</w:t>
            </w:r>
          </w:p>
        </w:tc>
      </w:tr>
      <w:tr>
        <w:tc>
          <w:tcPr>
            <w:tcW w:type="dxa" w:w="3216"/>
          </w:tcPr>
          <w:p>
            <w:pPr>
              <w:spacing w:before="40" w:after="40"/>
            </w:pPr>
            <w:r>
              <w:rPr>
                <w:b w:val="0"/>
                <w:i w:val="0"/>
                <w:sz w:val="17"/>
              </w:rPr>
              <w:t>Registered index-linked annuity (RILA) features</w:t>
            </w:r>
          </w:p>
        </w:tc>
        <w:tc>
          <w:tcPr>
            <w:tcW w:type="dxa" w:w="3216"/>
          </w:tcPr>
          <w:p>
            <w:pPr>
              <w:spacing w:before="40" w:after="40"/>
            </w:pPr>
            <w:r>
              <w:rPr>
                <w:b w:val="0"/>
                <w:i w:val="0"/>
                <w:sz w:val="17"/>
              </w:rPr>
              <w:t>D-01</w:t>
            </w:r>
          </w:p>
        </w:tc>
        <w:tc>
          <w:tcPr>
            <w:tcW w:type="dxa" w:w="3216"/>
          </w:tcPr>
          <w:p>
            <w:pPr>
              <w:spacing w:before="40" w:after="40"/>
            </w:pPr>
            <w:r>
              <w:rPr>
                <w:b w:val="0"/>
                <w:i w:val="0"/>
                <w:sz w:val="17"/>
              </w:rPr>
              <w:t>A buffer or floor structure with market-value risk to the contract holder would make this a registered product, pulling it into the SEC and FINRA lane and adding a prospectus, a registration statement and a broker-dealer distribution model. The program is a state-filed product by decision, not by omission.</w:t>
            </w:r>
          </w:p>
        </w:tc>
      </w:tr>
      <w:tr>
        <w:tc>
          <w:tcPr>
            <w:tcW w:type="dxa" w:w="3216"/>
          </w:tcPr>
          <w:p>
            <w:pPr>
              <w:spacing w:before="40" w:after="40"/>
            </w:pPr>
            <w:r>
              <w:rPr>
                <w:b w:val="0"/>
                <w:i w:val="0"/>
                <w:sz w:val="17"/>
              </w:rPr>
              <w:t>Embedded (non-optional) GLWB</w:t>
            </w:r>
          </w:p>
        </w:tc>
        <w:tc>
          <w:tcPr>
            <w:tcW w:type="dxa" w:w="3216"/>
          </w:tcPr>
          <w:p>
            <w:pPr>
              <w:spacing w:before="40" w:after="40"/>
            </w:pPr>
            <w:r>
              <w:rPr>
                <w:b w:val="0"/>
                <w:i w:val="0"/>
                <w:sz w:val="17"/>
              </w:rPr>
              <w:t>D-05</w:t>
            </w:r>
          </w:p>
        </w:tc>
        <w:tc>
          <w:tcPr>
            <w:tcW w:type="dxa" w:w="3216"/>
          </w:tcPr>
          <w:p>
            <w:pPr>
              <w:spacing w:before="40" w:after="40"/>
            </w:pPr>
            <w:r>
              <w:rPr>
                <w:b w:val="0"/>
                <w:i w:val="0"/>
                <w:sz w:val="17"/>
              </w:rPr>
              <w:t>Embedding the rider would raise the guarantee exposure on every policy issued rather than on the 62% who elect it, and would price the benefit into contracts sold to buyers who do not want it.</w:t>
            </w:r>
          </w:p>
        </w:tc>
      </w:tr>
      <w:tr>
        <w:tc>
          <w:tcPr>
            <w:tcW w:type="dxa" w:w="3216"/>
          </w:tcPr>
          <w:p>
            <w:pPr>
              <w:spacing w:before="40" w:after="40"/>
            </w:pPr>
            <w:r>
              <w:rPr>
                <w:b w:val="0"/>
                <w:i w:val="0"/>
                <w:sz w:val="17"/>
              </w:rPr>
              <w:t>Participation-rate (</w:t>
            </w:r>
            <w:r>
              <w:rPr>
                <w:b/>
                <w:i w:val="0"/>
                <w:sz w:val="17"/>
              </w:rPr>
              <w:t>PR-07</w:t>
            </w:r>
            <w:r>
              <w:rPr>
                <w:b w:val="0"/>
                <w:i w:val="0"/>
                <w:sz w:val="17"/>
              </w:rPr>
              <w:t>) and monthly-averaged (</w:t>
            </w:r>
            <w:r>
              <w:rPr>
                <w:b/>
                <w:i w:val="0"/>
                <w:sz w:val="17"/>
              </w:rPr>
              <w:t>PR-08</w:t>
            </w:r>
            <w:r>
              <w:rPr>
                <w:b w:val="0"/>
                <w:i w:val="0"/>
                <w:sz w:val="17"/>
              </w:rPr>
              <w:t>) crediting strategies</w:t>
            </w:r>
          </w:p>
        </w:tc>
        <w:tc>
          <w:tcPr>
            <w:tcW w:type="dxa" w:w="3216"/>
          </w:tcPr>
          <w:p>
            <w:pPr>
              <w:spacing w:before="40" w:after="40"/>
            </w:pPr>
            <w:r>
              <w:rPr>
                <w:b w:val="0"/>
                <w:i w:val="0"/>
                <w:sz w:val="17"/>
              </w:rPr>
              <w:t>D-03 / GC-01</w:t>
            </w:r>
          </w:p>
        </w:tc>
        <w:tc>
          <w:tcPr>
            <w:tcW w:type="dxa" w:w="3216"/>
          </w:tcPr>
          <w:p>
            <w:pPr>
              <w:spacing w:before="40" w:after="40"/>
            </w:pPr>
            <w:r>
              <w:rPr>
                <w:b w:val="0"/>
                <w:i w:val="0"/>
                <w:sz w:val="17"/>
              </w:rPr>
              <w:t xml:space="preserve">Withdrawn at Gate 1. The platform could not support the first without custom development (R-04) and the illustration engine could not produce compliant hypothetical performance for the second (I-02). </w:t>
            </w:r>
            <w:r>
              <w:rPr>
                <w:b/>
                <w:i w:val="0"/>
                <w:sz w:val="17"/>
              </w:rPr>
              <w:t>Withdrawn, not deferred</w:t>
            </w:r>
            <w:r>
              <w:rPr>
                <w:b w:val="0"/>
                <w:i w:val="0"/>
                <w:sz w:val="17"/>
              </w:rPr>
              <w:t xml:space="preserve"> — there is no roadmap entry.</w:t>
            </w:r>
          </w:p>
        </w:tc>
      </w:tr>
      <w:tr>
        <w:tc>
          <w:tcPr>
            <w:tcW w:type="dxa" w:w="3216"/>
          </w:tcPr>
          <w:p>
            <w:pPr>
              <w:spacing w:before="40" w:after="40"/>
            </w:pPr>
            <w:r>
              <w:rPr>
                <w:b w:val="0"/>
                <w:i w:val="0"/>
                <w:sz w:val="17"/>
              </w:rPr>
              <w:t>New York (</w:t>
            </w:r>
            <w:r>
              <w:rPr>
                <w:b/>
                <w:i w:val="0"/>
                <w:sz w:val="17"/>
              </w:rPr>
              <w:t>PR-11</w:t>
            </w:r>
            <w:r>
              <w:rPr>
                <w:b w:val="0"/>
                <w:i w:val="0"/>
                <w:sz w:val="17"/>
              </w:rPr>
              <w:t>)</w:t>
            </w:r>
          </w:p>
        </w:tc>
        <w:tc>
          <w:tcPr>
            <w:tcW w:type="dxa" w:w="3216"/>
          </w:tcPr>
          <w:p>
            <w:pPr>
              <w:spacing w:before="40" w:after="40"/>
            </w:pPr>
            <w:r>
              <w:rPr>
                <w:b w:val="0"/>
                <w:i w:val="0"/>
                <w:sz w:val="17"/>
              </w:rPr>
              <w:t>D-02 / GC-02</w:t>
            </w:r>
          </w:p>
        </w:tc>
        <w:tc>
          <w:tcPr>
            <w:tcW w:type="dxa" w:w="3216"/>
          </w:tcPr>
          <w:p>
            <w:pPr>
              <w:spacing w:before="40" w:after="40"/>
            </w:pPr>
            <w:r>
              <w:rPr>
                <w:b w:val="0"/>
                <w:i w:val="0"/>
                <w:sz w:val="17"/>
              </w:rPr>
              <w:t>Excluded from launch scope with a deferral memorandum recording the conditions for revisiting. This is an exclusion, not a cut — it was never in scope.</w:t>
            </w:r>
          </w:p>
        </w:tc>
      </w:tr>
      <w:tr>
        <w:tc>
          <w:tcPr>
            <w:tcW w:type="dxa" w:w="3216"/>
          </w:tcPr>
          <w:p>
            <w:pPr>
              <w:spacing w:before="40" w:after="40"/>
            </w:pPr>
            <w:r>
              <w:rPr>
                <w:b w:val="0"/>
                <w:i w:val="0"/>
                <w:sz w:val="17"/>
              </w:rPr>
              <w:t>A new administration platform</w:t>
            </w:r>
          </w:p>
        </w:tc>
        <w:tc>
          <w:tcPr>
            <w:tcW w:type="dxa" w:w="3216"/>
          </w:tcPr>
          <w:p>
            <w:pPr>
              <w:spacing w:before="40" w:after="40"/>
            </w:pPr>
            <w:r>
              <w:rPr>
                <w:b w:val="0"/>
                <w:i w:val="0"/>
                <w:sz w:val="17"/>
              </w:rPr>
              <w:t>D-07</w:t>
            </w:r>
          </w:p>
        </w:tc>
        <w:tc>
          <w:tcPr>
            <w:tcW w:type="dxa" w:w="3216"/>
          </w:tcPr>
          <w:p>
            <w:pPr>
              <w:spacing w:before="40" w:after="40"/>
            </w:pPr>
            <w:r>
              <w:rPr>
                <w:b w:val="0"/>
                <w:i w:val="0"/>
                <w:sz w:val="17"/>
              </w:rPr>
              <w:t>The incumbent platform is extended. Replacement was assessed at Stage 1 and would have consumed the program's entire budget without producing a product.</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 xml:space="preserve">The distinction between </w:t>
            </w:r>
            <w:r>
              <w:rPr>
                <w:b/>
                <w:i/>
                <w:sz w:val="20"/>
              </w:rPr>
              <w:t>withdrawn</w:t>
            </w:r>
            <w:r>
              <w:rPr>
                <w:b/>
                <w:i w:val="0"/>
                <w:sz w:val="20"/>
              </w:rPr>
              <w:t xml:space="preserve"> and </w:t>
            </w:r>
            <w:r>
              <w:rPr>
                <w:b/>
                <w:i/>
                <w:sz w:val="20"/>
              </w:rPr>
              <w:t>excluded</w:t>
            </w:r>
            <w:r>
              <w:rPr>
                <w:b/>
                <w:i w:val="0"/>
                <w:sz w:val="20"/>
              </w:rPr>
              <w:t xml:space="preserve"> is load-bearing.</w:t>
            </w:r>
            <w:r>
              <w:rPr>
                <w:b w:val="0"/>
                <w:i w:val="0"/>
                <w:sz w:val="20"/>
              </w:rPr>
              <w:t xml:space="preserve"> The two crediting strategies were in scope and were removed; New York was never in scope and has a deferral memorandum. Collapsing them into a single “out of scope” list would make a considered scope decision look like a cut and a cut look like a considered scope decision. </w:t>
            </w:r>
          </w:p>
        </w:tc>
      </w:tr>
    </w:tbl>
    <w:p/>
    <w:p>
      <w:pPr>
        <w:spacing w:before="280" w:after="80"/>
      </w:pPr>
      <w:r>
        <w:rPr>
          <w:b/>
          <w:i w:val="0"/>
          <w:color w:val="14352A"/>
          <w:sz w:val="28"/>
        </w:rPr>
        <w:t>6. Versioned by Gate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i w:val="0"/>
                <w:sz w:val="17"/>
              </w:rPr>
              <w:t>0.1</w:t>
            </w:r>
          </w:p>
        </w:tc>
        <w:tc>
          <w:tcPr>
            <w:tcW w:type="dxa" w:w="3216"/>
          </w:tcPr>
          <w:p>
            <w:pPr>
              <w:spacing w:before="40" w:after="40"/>
            </w:pPr>
            <w:r>
              <w:rPr>
                <w:b w:val="0"/>
                <w:i w:val="0"/>
                <w:sz w:val="17"/>
              </w:rPr>
              <w:t>05 Feb 2026</w:t>
            </w:r>
          </w:p>
        </w:tc>
        <w:tc>
          <w:tcPr>
            <w:tcW w:type="dxa" w:w="3216"/>
          </w:tcPr>
          <w:p>
            <w:pPr>
              <w:spacing w:before="40" w:after="40"/>
            </w:pPr>
            <w:r>
              <w:rPr>
                <w:b w:val="0"/>
                <w:i w:val="0"/>
                <w:sz w:val="17"/>
              </w:rPr>
              <w:t>Concept requirement set tabled at Gate 0, including five proposed crediting strategies. Authorized for Stage 1 feasibility work.</w:t>
            </w:r>
          </w:p>
        </w:tc>
      </w:tr>
      <w:tr>
        <w:tc>
          <w:tcPr>
            <w:tcW w:type="dxa" w:w="3216"/>
          </w:tcPr>
          <w:p>
            <w:pPr>
              <w:spacing w:before="40" w:after="40"/>
            </w:pPr>
            <w:r>
              <w:rPr>
                <w:b/>
                <w:i w:val="0"/>
                <w:sz w:val="17"/>
              </w:rPr>
              <w:t>1.0</w:t>
            </w:r>
          </w:p>
        </w:tc>
        <w:tc>
          <w:tcPr>
            <w:tcW w:type="dxa" w:w="3216"/>
          </w:tcPr>
          <w:p>
            <w:pPr>
              <w:spacing w:before="40" w:after="40"/>
            </w:pPr>
            <w:r>
              <w:rPr>
                <w:b w:val="0"/>
                <w:i w:val="0"/>
                <w:sz w:val="17"/>
              </w:rPr>
              <w:t>30 Apr 2026</w:t>
            </w:r>
          </w:p>
        </w:tc>
        <w:tc>
          <w:tcPr>
            <w:tcW w:type="dxa" w:w="3216"/>
          </w:tcPr>
          <w:p>
            <w:pPr>
              <w:spacing w:before="40" w:after="40"/>
            </w:pPr>
            <w:r>
              <w:rPr>
                <w:b w:val="0"/>
                <w:i w:val="0"/>
                <w:sz w:val="17"/>
              </w:rPr>
              <w:t xml:space="preserve">Tabled at the first Gate 1 convening. </w:t>
            </w:r>
            <w:r>
              <w:rPr>
                <w:b/>
                <w:i w:val="0"/>
                <w:sz w:val="17"/>
              </w:rPr>
              <w:t>Not adopted</w:t>
            </w:r>
            <w:r>
              <w:rPr>
                <w:b w:val="0"/>
                <w:i w:val="0"/>
                <w:sz w:val="17"/>
              </w:rPr>
              <w:t xml:space="preserve"> — the gate recycled before the requirement set was scored.</w:t>
            </w:r>
          </w:p>
        </w:tc>
      </w:tr>
      <w:tr>
        <w:tc>
          <w:tcPr>
            <w:tcW w:type="dxa" w:w="3216"/>
          </w:tcPr>
          <w:p>
            <w:pPr>
              <w:spacing w:before="40" w:after="40"/>
            </w:pPr>
            <w:r>
              <w:rPr>
                <w:b/>
                <w:i w:val="0"/>
                <w:sz w:val="17"/>
              </w:rPr>
              <w:t>1.1</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 xml:space="preserve">Adopted at the Gate 1 second convening. Five crediting strategies reduced to three under GC-01 (D-03); New York recorded as excluded under GC-02 (D-02). </w:t>
            </w:r>
            <w:r>
              <w:rPr>
                <w:b/>
                <w:i w:val="0"/>
                <w:sz w:val="17"/>
              </w:rPr>
              <w:t>This is the version Stage 2 is building against.</w:t>
            </w:r>
          </w:p>
        </w:tc>
      </w:tr>
      <w:tr>
        <w:tc>
          <w:tcPr>
            <w:tcW w:type="dxa" w:w="3216"/>
          </w:tcPr>
          <w:p>
            <w:pPr>
              <w:spacing w:before="40" w:after="40"/>
            </w:pPr>
            <w:r>
              <w:rPr>
                <w:b/>
                <w:i w:val="0"/>
                <w:sz w:val="17"/>
              </w:rPr>
              <w:t>—</w:t>
            </w:r>
          </w:p>
        </w:tc>
        <w:tc>
          <w:tcPr>
            <w:tcW w:type="dxa" w:w="3216"/>
          </w:tcPr>
          <w:p>
            <w:pPr>
              <w:spacing w:before="40" w:after="40"/>
            </w:pPr>
            <w:r>
              <w:rPr>
                <w:b w:val="0"/>
                <w:i w:val="0"/>
                <w:sz w:val="17"/>
              </w:rPr>
              <w:t>—</w:t>
            </w:r>
          </w:p>
        </w:tc>
        <w:tc>
          <w:tcPr>
            <w:tcW w:type="dxa" w:w="3216"/>
          </w:tcPr>
          <w:p>
            <w:pPr>
              <w:spacing w:before="40" w:after="40"/>
            </w:pPr>
            <w:r>
              <w:rPr>
                <w:b w:val="0"/>
                <w:i w:val="0"/>
                <w:sz w:val="17"/>
              </w:rPr>
              <w:t>No version has been issued since. The document is frozen until Gate 2.</w:t>
            </w:r>
          </w:p>
        </w:tc>
      </w:tr>
    </w:tbl>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A PRD that can change between gates is a PRD nobody can build against.</w:t>
            </w:r>
            <w:r>
              <w:rPr>
                <w:b w:val="0"/>
                <w:i w:val="0"/>
                <w:sz w:val="20"/>
              </w:rPr>
              <w:t xml:space="preserve"> Between gates this document is frozen. Teams build against a set that cannot move under them, and anyone who wants it to move has to take that want to a Board with the authority to say no. That is slower than a change board, and it is the mechanism the methodology chose — because the alternative is a requirements set that drifts quietly and a gate that scores it against criteria it no longer matches. </w:t>
            </w:r>
          </w:p>
        </w:tc>
      </w:tr>
    </w:tbl>
    <w:p/>
    <w:p>
      <w:pPr>
        <w:spacing w:after="120"/>
      </w:pPr>
      <w:r>
        <w:rPr>
          <w:b w:val="0"/>
          <w:i w:val="0"/>
          <w:sz w:val="20"/>
        </w:rPr>
        <w:t xml:space="preserve">This is also why the program keeps </w:t>
      </w:r>
      <w:r>
        <w:rPr>
          <w:b/>
          <w:i w:val="0"/>
          <w:sz w:val="20"/>
        </w:rPr>
        <w:t>no change control log</w:t>
      </w:r>
      <w:r>
        <w:rPr>
          <w:b w:val="0"/>
          <w:i w:val="0"/>
          <w:sz w:val="20"/>
        </w:rPr>
        <w:t xml:space="preserve">. There is nothing for one to record: material change is a gate re-submission, and the gate package </w:t>
      </w:r>
      <w:r>
        <w:rPr>
          <w:b w:val="0"/>
          <w:i/>
          <w:sz w:val="20"/>
        </w:rPr>
        <w:t>is</w:t>
      </w:r>
      <w:r>
        <w:rPr>
          <w:b w:val="0"/>
          <w:i w:val="0"/>
          <w:sz w:val="20"/>
        </w:rPr>
        <w:t xml:space="preserve"> the record. Change within a stage that does not alter this document is handled by the owning team and does not need a register to prove it happened.</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Version 1.0 was tabled and never adopted.</w:t>
            </w:r>
            <w:r>
              <w:rPr>
                <w:b w:val="0"/>
                <w:i w:val="0"/>
                <w:sz w:val="20"/>
              </w:rPr>
              <w:t xml:space="preserve"> It went to the first Gate 1 convening on 30 April 2026, which recycled before the requirement set was scored. The version is kept in the history rather than renumbered away, because a document whose version history shows only successful adoptions is a document that has quietly deleted its own most instructive event. </w:t>
            </w:r>
          </w:p>
        </w:tc>
      </w:tr>
    </w:tbl>
    <w:p/>
    <w:p>
      <w:pPr>
        <w:spacing w:before="280" w:after="80"/>
      </w:pPr>
      <w:r>
        <w:rPr>
          <w:b/>
          <w:i w:val="0"/>
          <w:color w:val="14352A"/>
          <w:sz w:val="28"/>
        </w:rPr>
        <w:t>7. Open Questions</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ID</w:t>
            </w:r>
          </w:p>
        </w:tc>
        <w:tc>
          <w:tcPr>
            <w:tcW w:type="dxa" w:w="4824"/>
            <w:shd w:val="clear" w:fill="14352A"/>
          </w:tcPr>
          <w:p>
            <w:pPr>
              <w:spacing w:before="40" w:after="40"/>
            </w:pPr>
            <w:r>
              <w:rPr>
                <w:b/>
                <w:i w:val="0"/>
                <w:color w:val="FFFFFF"/>
                <w:sz w:val="17"/>
              </w:rPr>
              <w:t>Question</w:t>
            </w:r>
          </w:p>
        </w:tc>
      </w:tr>
      <w:tr>
        <w:tc>
          <w:tcPr>
            <w:tcW w:type="dxa" w:w="4824"/>
          </w:tcPr>
          <w:p>
            <w:pPr>
              <w:spacing w:before="40" w:after="40"/>
            </w:pPr>
            <w:r>
              <w:rPr>
                <w:b/>
                <w:i w:val="0"/>
                <w:sz w:val="17"/>
              </w:rPr>
              <w:t>PQ-01</w:t>
            </w:r>
          </w:p>
        </w:tc>
        <w:tc>
          <w:tcPr>
            <w:tcW w:type="dxa" w:w="4824"/>
          </w:tcPr>
          <w:p>
            <w:pPr>
              <w:spacing w:before="40" w:after="40"/>
            </w:pPr>
            <w:r>
              <w:rPr>
                <w:b/>
                <w:i w:val="0"/>
                <w:sz w:val="17"/>
              </w:rPr>
              <w:t>Does the rider election assumption survive contact with the market?</w:t>
            </w:r>
            <w:r>
              <w:rPr>
                <w:b w:val="0"/>
                <w:i w:val="0"/>
                <w:sz w:val="17"/>
              </w:rPr>
              <w:t xml:space="preserve"> Pricing assumes 62%. Nothing in Stages 2–4 can test it; the first real reading is months after launch, and the </w:t>
            </w:r>
            <w:r>
              <w:rPr>
                <w:b w:val="0"/>
                <w:i w:val="0"/>
                <w:sz w:val="17"/>
              </w:rPr>
              <w:t>Benefits Realization Plan</w:t>
            </w:r>
            <w:r>
              <w:rPr>
                <w:b w:val="0"/>
                <w:i w:val="0"/>
                <w:sz w:val="17"/>
              </w:rPr>
              <w:t xml:space="preserve"> records it as BEN-02 with a Month 3 first read.</w:t>
            </w:r>
          </w:p>
        </w:tc>
      </w:tr>
      <w:tr>
        <w:tc>
          <w:tcPr>
            <w:tcW w:type="dxa" w:w="4824"/>
          </w:tcPr>
          <w:p>
            <w:pPr>
              <w:spacing w:before="40" w:after="40"/>
            </w:pPr>
            <w:r>
              <w:rPr>
                <w:b/>
                <w:i w:val="0"/>
                <w:sz w:val="17"/>
              </w:rPr>
              <w:t>PQ-02</w:t>
            </w:r>
          </w:p>
        </w:tc>
        <w:tc>
          <w:tcPr>
            <w:tcW w:type="dxa" w:w="4824"/>
          </w:tcPr>
          <w:p>
            <w:pPr>
              <w:spacing w:before="40" w:after="40"/>
            </w:pPr>
            <w:r>
              <w:rPr>
                <w:b/>
                <w:i w:val="0"/>
                <w:sz w:val="17"/>
              </w:rPr>
              <w:t>Is the illustrated cap defensible for a full year?</w:t>
            </w:r>
            <w:r>
              <w:rPr>
                <w:b w:val="0"/>
                <w:i w:val="0"/>
                <w:sz w:val="17"/>
              </w:rPr>
              <w:t xml:space="preserve"> 9.25% against a peer 9.00%, with a competitive floor of 8.50% fixed at Gate 1. Option costs move; the floor does not. If option budgets compress (</w:t>
            </w:r>
            <w:r>
              <w:rPr>
                <w:b/>
                <w:i w:val="0"/>
                <w:sz w:val="17"/>
              </w:rPr>
              <w:t>R-03</w:t>
            </w:r>
            <w:r>
              <w:rPr>
                <w:b w:val="0"/>
                <w:i w:val="0"/>
                <w:sz w:val="17"/>
              </w:rPr>
              <w:t>), the cap moves toward the floor and the product's headline advantage narrows.</w:t>
            </w:r>
          </w:p>
        </w:tc>
      </w:tr>
      <w:tr>
        <w:tc>
          <w:tcPr>
            <w:tcW w:type="dxa" w:w="4824"/>
          </w:tcPr>
          <w:p>
            <w:pPr>
              <w:spacing w:before="40" w:after="40"/>
            </w:pPr>
            <w:r>
              <w:rPr>
                <w:b/>
                <w:i w:val="0"/>
                <w:sz w:val="17"/>
              </w:rPr>
              <w:t>PQ-03</w:t>
            </w:r>
          </w:p>
        </w:tc>
        <w:tc>
          <w:tcPr>
            <w:tcW w:type="dxa" w:w="4824"/>
          </w:tcPr>
          <w:p>
            <w:pPr>
              <w:spacing w:before="40" w:after="40"/>
            </w:pPr>
            <w:r>
              <w:rPr>
                <w:b/>
                <w:i w:val="0"/>
                <w:sz w:val="17"/>
              </w:rPr>
              <w:t>What happens to the strategy mix if one strategy dominates?</w:t>
            </w:r>
            <w:r>
              <w:rPr>
                <w:b w:val="0"/>
                <w:i w:val="0"/>
                <w:sz w:val="17"/>
              </w:rPr>
              <w:t xml:space="preserve"> R-12 anticipates concentration. The PRD defines three strategies but sets no allocation limit, and no requirement here would prevent 80% of premium landing in one of them.</w:t>
            </w:r>
          </w:p>
        </w:tc>
      </w:tr>
      <w:tr>
        <w:tc>
          <w:tcPr>
            <w:tcW w:type="dxa" w:w="4824"/>
          </w:tcPr>
          <w:p>
            <w:pPr>
              <w:spacing w:before="40" w:after="40"/>
            </w:pPr>
            <w:r>
              <w:rPr>
                <w:b/>
                <w:i w:val="0"/>
                <w:sz w:val="17"/>
              </w:rPr>
              <w:t>PQ-04</w:t>
            </w:r>
          </w:p>
        </w:tc>
        <w:tc>
          <w:tcPr>
            <w:tcW w:type="dxa" w:w="4824"/>
          </w:tcPr>
          <w:p>
            <w:pPr>
              <w:spacing w:before="40" w:after="40"/>
            </w:pPr>
            <w:r>
              <w:rPr>
                <w:b/>
                <w:i w:val="0"/>
                <w:sz w:val="17"/>
              </w:rPr>
              <w:t>Does the product need a roadmap it does not have?</w:t>
            </w:r>
            <w:r>
              <w:rPr>
                <w:b w:val="0"/>
                <w:i w:val="0"/>
                <w:sz w:val="17"/>
              </w:rPr>
              <w:t xml:space="preserve"> The two withdrawn strategies are withdrawn, not deferred, and the program has no vehicle for “version 2” scope. That is correct for a launch program and it means the first post-launch enhancement request has nowhere to go.</w:t>
            </w:r>
          </w:p>
        </w:tc>
      </w:tr>
    </w:tbl>
    <w:p/>
    <w:p>
      <w:pPr>
        <w:spacing w:after="120"/>
      </w:pPr>
      <w:r>
        <w:rPr>
          <w:b w:val="0"/>
          <w:i w:val="0"/>
          <w:sz w:val="20"/>
        </w:rPr>
        <w:t xml:space="preserve">Owned by D. Falkner, VP Product Development, under G. Marchetti, Chief Product Officer. Maintained through the gate process by C. Tyrrell, NPD Program Manager. Related: </w:t>
      </w:r>
      <w:r>
        <w:rPr>
          <w:b w:val="0"/>
          <w:i w:val="0"/>
          <w:sz w:val="20"/>
        </w:rPr>
        <w:t>Requirements Traceability Matrix</w:t>
      </w:r>
      <w:r>
        <w:rPr>
          <w:b w:val="0"/>
          <w:i w:val="0"/>
          <w:sz w:val="20"/>
        </w:rPr>
        <w:t xml:space="preserve"> · </w:t>
      </w:r>
      <w:r>
        <w:rPr>
          <w:b w:val="0"/>
          <w:i w:val="0"/>
          <w:sz w:val="20"/>
        </w:rPr>
        <w:t>Gate 1 Business Case Package</w:t>
      </w:r>
      <w:r>
        <w:rPr>
          <w:b w:val="0"/>
          <w:i w:val="0"/>
          <w:sz w:val="20"/>
        </w:rPr>
        <w:t xml:space="preserve"> · </w:t>
      </w:r>
      <w:r>
        <w:rPr>
          <w:b w:val="0"/>
          <w:i w:val="0"/>
          <w:sz w:val="20"/>
        </w:rPr>
        <w:t>Regulatory Filing Plan</w:t>
      </w:r>
      <w:r>
        <w:rPr>
          <w:b w:val="0"/>
          <w:i w:val="0"/>
          <w:sz w:val="20"/>
        </w:rPr>
        <w:t xml:space="preserve"> · </w:t>
      </w:r>
      <w:r>
        <w:rPr>
          <w:b w:val="0"/>
          <w:i w:val="0"/>
          <w:sz w:val="20"/>
        </w:rPr>
        <w:t>Glossary</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index, person</w:t>
        <w:br/>
        <w:t>or 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